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2F1F18D" w14:textId="77777777" w:rsidR="006B6040" w:rsidRDefault="006B6040" w:rsidP="006B6040">
      <w:r w:rsidRPr="00341CA4">
        <w:rPr>
          <w:noProof/>
          <w:lang w:eastAsia="en-GB"/>
        </w:rPr>
        <w:drawing>
          <wp:anchor distT="0" distB="0" distL="114300" distR="114300" simplePos="0" relativeHeight="251660288" behindDoc="1" locked="0" layoutInCell="1" allowOverlap="1" wp14:anchorId="7E2A376F" wp14:editId="349DA65E">
            <wp:simplePos x="0" y="0"/>
            <wp:positionH relativeFrom="column">
              <wp:posOffset>1534160</wp:posOffset>
            </wp:positionH>
            <wp:positionV relativeFrom="paragraph">
              <wp:posOffset>-22860</wp:posOffset>
            </wp:positionV>
            <wp:extent cx="2938145" cy="308610"/>
            <wp:effectExtent l="0" t="0" r="0" b="0"/>
            <wp:wrapNone/>
            <wp:docPr id="1"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a:ln w="9525">
                      <a:noFill/>
                      <a:miter lim="800000"/>
                      <a:headEnd/>
                      <a:tailEnd/>
                    </a:ln>
                  </pic:spPr>
                </pic:pic>
              </a:graphicData>
            </a:graphic>
          </wp:anchor>
        </w:drawing>
      </w:r>
    </w:p>
    <w:p w14:paraId="16CC569D" w14:textId="77777777" w:rsidR="006B6040" w:rsidRPr="00E81BA9" w:rsidRDefault="006B6040" w:rsidP="006B6040"/>
    <w:p w14:paraId="382374D8" w14:textId="77777777" w:rsidR="006B6040" w:rsidRPr="00E81BA9" w:rsidRDefault="006B6040" w:rsidP="006B6040"/>
    <w:p w14:paraId="4346489A" w14:textId="77777777" w:rsidR="006B6040" w:rsidRPr="00E81BA9" w:rsidRDefault="006B6040" w:rsidP="006B6040"/>
    <w:p w14:paraId="7A5C1661" w14:textId="77777777" w:rsidR="006B6040" w:rsidRPr="00E81BA9" w:rsidRDefault="006B6040" w:rsidP="006B6040">
      <w:r w:rsidRPr="00464F29">
        <w:rPr>
          <w:rFonts w:ascii="Arial" w:hAnsi="Arial"/>
          <w:noProof/>
          <w:sz w:val="90"/>
          <w:lang w:eastAsia="en-GB"/>
        </w:rPr>
        <w:drawing>
          <wp:anchor distT="0" distB="0" distL="114300" distR="114300" simplePos="0" relativeHeight="251659264" behindDoc="1" locked="0" layoutInCell="1" allowOverlap="1" wp14:anchorId="1F044688" wp14:editId="1EA54347">
            <wp:simplePos x="0" y="0"/>
            <wp:positionH relativeFrom="column">
              <wp:posOffset>2538095</wp:posOffset>
            </wp:positionH>
            <wp:positionV relativeFrom="paragraph">
              <wp:posOffset>57150</wp:posOffset>
            </wp:positionV>
            <wp:extent cx="1101090" cy="1380423"/>
            <wp:effectExtent l="0" t="0" r="381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1380423"/>
                    </a:xfrm>
                    <a:prstGeom prst="rect">
                      <a:avLst/>
                    </a:prstGeom>
                    <a:noFill/>
                    <a:ln w="9525">
                      <a:noFill/>
                      <a:miter lim="800000"/>
                      <a:headEnd/>
                      <a:tailEnd/>
                    </a:ln>
                  </pic:spPr>
                </pic:pic>
              </a:graphicData>
            </a:graphic>
          </wp:anchor>
        </w:drawing>
      </w:r>
    </w:p>
    <w:p w14:paraId="39D390A8" w14:textId="77777777" w:rsidR="006B6040" w:rsidRPr="00E81BA9" w:rsidRDefault="006B6040" w:rsidP="006B6040"/>
    <w:p w14:paraId="04615BF8" w14:textId="77777777" w:rsidR="006B6040" w:rsidRPr="00E81BA9" w:rsidRDefault="006B6040" w:rsidP="006B6040"/>
    <w:p w14:paraId="2611F1E4" w14:textId="77777777" w:rsidR="006B6040" w:rsidRPr="00861087" w:rsidRDefault="006B6040" w:rsidP="006B6040">
      <w:pPr>
        <w:rPr>
          <w:rFonts w:asciiTheme="minorHAnsi" w:hAnsiTheme="minorHAnsi" w:cstheme="minorHAnsi"/>
          <w:b/>
          <w:sz w:val="40"/>
        </w:rPr>
      </w:pPr>
    </w:p>
    <w:p w14:paraId="19798588" w14:textId="77777777" w:rsidR="006B6040" w:rsidRDefault="006B6040" w:rsidP="006B6040">
      <w:pPr>
        <w:jc w:val="center"/>
        <w:rPr>
          <w:rFonts w:asciiTheme="minorHAnsi" w:hAnsiTheme="minorHAnsi" w:cstheme="minorHAnsi"/>
          <w:b/>
          <w:sz w:val="40"/>
        </w:rPr>
      </w:pPr>
    </w:p>
    <w:p w14:paraId="660473BE" w14:textId="77777777" w:rsidR="006B6040" w:rsidRDefault="006B6040" w:rsidP="006B6040">
      <w:pPr>
        <w:jc w:val="center"/>
        <w:rPr>
          <w:rFonts w:asciiTheme="minorHAnsi" w:hAnsiTheme="minorHAnsi" w:cstheme="minorHAnsi"/>
          <w:b/>
          <w:sz w:val="40"/>
        </w:rPr>
      </w:pPr>
    </w:p>
    <w:p w14:paraId="53D928D9" w14:textId="77777777" w:rsidR="006B6040" w:rsidRDefault="006B6040" w:rsidP="006B6040">
      <w:pPr>
        <w:jc w:val="center"/>
        <w:rPr>
          <w:rFonts w:asciiTheme="minorHAnsi" w:hAnsiTheme="minorHAnsi" w:cstheme="minorHAnsi"/>
          <w:b/>
          <w:sz w:val="40"/>
        </w:rPr>
      </w:pPr>
    </w:p>
    <w:p w14:paraId="4D00EB17" w14:textId="77777777" w:rsidR="006B6040" w:rsidRDefault="006B6040" w:rsidP="006B6040">
      <w:pPr>
        <w:jc w:val="center"/>
        <w:rPr>
          <w:rFonts w:asciiTheme="minorHAnsi" w:hAnsiTheme="minorHAnsi" w:cstheme="minorHAnsi"/>
          <w:b/>
          <w:sz w:val="40"/>
        </w:rPr>
      </w:pPr>
    </w:p>
    <w:p w14:paraId="3747BE87" w14:textId="65CE1CD1" w:rsidR="00186C2F" w:rsidRPr="00861087" w:rsidRDefault="006B6040" w:rsidP="00186C2F">
      <w:pPr>
        <w:jc w:val="center"/>
        <w:rPr>
          <w:rFonts w:asciiTheme="minorHAnsi" w:hAnsiTheme="minorHAnsi" w:cstheme="minorHAnsi"/>
          <w:b/>
          <w:sz w:val="40"/>
        </w:rPr>
      </w:pPr>
      <w:r>
        <w:rPr>
          <w:rFonts w:asciiTheme="minorHAnsi" w:hAnsiTheme="minorHAnsi" w:cstheme="minorHAnsi"/>
          <w:b/>
          <w:sz w:val="40"/>
        </w:rPr>
        <w:t>CAREERS</w:t>
      </w:r>
      <w:r w:rsidR="00186C2F">
        <w:rPr>
          <w:rFonts w:asciiTheme="minorHAnsi" w:hAnsiTheme="minorHAnsi" w:cstheme="minorHAnsi"/>
          <w:b/>
          <w:sz w:val="40"/>
        </w:rPr>
        <w:t xml:space="preserve"> POLICY S</w:t>
      </w:r>
      <w:r w:rsidR="00B95194">
        <w:rPr>
          <w:rFonts w:asciiTheme="minorHAnsi" w:hAnsiTheme="minorHAnsi" w:cstheme="minorHAnsi"/>
          <w:b/>
          <w:sz w:val="40"/>
        </w:rPr>
        <w:t>TAT</w:t>
      </w:r>
      <w:r w:rsidR="00186C2F">
        <w:rPr>
          <w:rFonts w:asciiTheme="minorHAnsi" w:hAnsiTheme="minorHAnsi" w:cstheme="minorHAnsi"/>
          <w:b/>
          <w:sz w:val="40"/>
        </w:rPr>
        <w:t>EMENT</w:t>
      </w:r>
    </w:p>
    <w:p w14:paraId="56650D78" w14:textId="77777777" w:rsidR="006B6040" w:rsidRPr="00861087" w:rsidRDefault="006B6040" w:rsidP="006B6040">
      <w:pPr>
        <w:jc w:val="center"/>
        <w:rPr>
          <w:rFonts w:asciiTheme="minorHAnsi" w:hAnsiTheme="minorHAnsi" w:cstheme="minorHAnsi"/>
          <w:b/>
          <w:sz w:val="40"/>
        </w:rPr>
      </w:pPr>
      <w:r>
        <w:rPr>
          <w:rFonts w:asciiTheme="minorHAnsi" w:hAnsiTheme="minorHAnsi" w:cstheme="minorHAnsi"/>
          <w:b/>
          <w:sz w:val="40"/>
        </w:rPr>
        <w:t>Part 1, 2e</w:t>
      </w:r>
    </w:p>
    <w:tbl>
      <w:tblPr>
        <w:tblStyle w:val="TableGrid"/>
        <w:tblpPr w:leftFromText="180" w:rightFromText="180" w:vertAnchor="text" w:horzAnchor="margin" w:tblpXSpec="center" w:tblpY="333"/>
        <w:tblW w:w="0" w:type="auto"/>
        <w:tblLook w:val="04A0" w:firstRow="1" w:lastRow="0" w:firstColumn="1" w:lastColumn="0" w:noHBand="0" w:noVBand="1"/>
      </w:tblPr>
      <w:tblGrid>
        <w:gridCol w:w="2972"/>
        <w:gridCol w:w="3969"/>
      </w:tblGrid>
      <w:tr w:rsidR="006B6040" w:rsidRPr="00861087" w14:paraId="75113DDE" w14:textId="77777777" w:rsidTr="006B6040">
        <w:trPr>
          <w:trHeight w:val="268"/>
        </w:trPr>
        <w:tc>
          <w:tcPr>
            <w:tcW w:w="2972" w:type="dxa"/>
          </w:tcPr>
          <w:p w14:paraId="7DC298EB" w14:textId="77777777" w:rsidR="006B6040" w:rsidRPr="00861087" w:rsidRDefault="006B6040" w:rsidP="007B26AA">
            <w:pPr>
              <w:rPr>
                <w:rFonts w:cstheme="minorHAnsi"/>
              </w:rPr>
            </w:pPr>
            <w:r w:rsidRPr="00861087">
              <w:rPr>
                <w:rFonts w:cstheme="minorHAnsi"/>
              </w:rPr>
              <w:t>ISI</w:t>
            </w:r>
          </w:p>
        </w:tc>
        <w:tc>
          <w:tcPr>
            <w:tcW w:w="3969" w:type="dxa"/>
          </w:tcPr>
          <w:p w14:paraId="2D7177E4" w14:textId="77777777" w:rsidR="006B6040" w:rsidRPr="00861087" w:rsidRDefault="006B6040" w:rsidP="007B26AA">
            <w:pPr>
              <w:rPr>
                <w:rFonts w:cstheme="minorHAnsi"/>
              </w:rPr>
            </w:pPr>
            <w:r>
              <w:rPr>
                <w:rFonts w:cstheme="minorHAnsi"/>
              </w:rPr>
              <w:t>Part 1. Quality of Education Provided</w:t>
            </w:r>
          </w:p>
        </w:tc>
      </w:tr>
      <w:tr w:rsidR="006B6040" w:rsidRPr="00861087" w14:paraId="48104CD1" w14:textId="77777777" w:rsidTr="006B6040">
        <w:trPr>
          <w:trHeight w:val="268"/>
        </w:trPr>
        <w:tc>
          <w:tcPr>
            <w:tcW w:w="2972" w:type="dxa"/>
          </w:tcPr>
          <w:p w14:paraId="317F57E6" w14:textId="77777777" w:rsidR="006B6040" w:rsidRPr="00861087" w:rsidRDefault="006B6040" w:rsidP="007B26AA">
            <w:pPr>
              <w:rPr>
                <w:rFonts w:cstheme="minorHAnsi"/>
              </w:rPr>
            </w:pPr>
            <w:r w:rsidRPr="00861087">
              <w:rPr>
                <w:rFonts w:cstheme="minorHAnsi"/>
              </w:rPr>
              <w:t xml:space="preserve">NMS </w:t>
            </w:r>
            <w:r>
              <w:rPr>
                <w:rFonts w:cstheme="minorHAnsi"/>
              </w:rPr>
              <w:t>(</w:t>
            </w:r>
            <w:r w:rsidRPr="00861087">
              <w:rPr>
                <w:rFonts w:cstheme="minorHAnsi"/>
              </w:rPr>
              <w:t>if applicable)</w:t>
            </w:r>
          </w:p>
        </w:tc>
        <w:tc>
          <w:tcPr>
            <w:tcW w:w="3969" w:type="dxa"/>
          </w:tcPr>
          <w:p w14:paraId="7D5BDBE8" w14:textId="77777777" w:rsidR="006B6040" w:rsidRPr="00861087" w:rsidRDefault="006B6040" w:rsidP="007B26AA">
            <w:pPr>
              <w:rPr>
                <w:rFonts w:cstheme="minorHAnsi"/>
              </w:rPr>
            </w:pPr>
          </w:p>
        </w:tc>
      </w:tr>
      <w:tr w:rsidR="006B6040" w:rsidRPr="00861087" w14:paraId="55F0AEC2" w14:textId="77777777" w:rsidTr="006B6040">
        <w:trPr>
          <w:trHeight w:val="268"/>
        </w:trPr>
        <w:tc>
          <w:tcPr>
            <w:tcW w:w="2972" w:type="dxa"/>
          </w:tcPr>
          <w:p w14:paraId="345FB961" w14:textId="77777777" w:rsidR="006B6040" w:rsidRPr="00861087" w:rsidRDefault="006B6040" w:rsidP="007B26AA">
            <w:pPr>
              <w:rPr>
                <w:rFonts w:cstheme="minorHAnsi"/>
              </w:rPr>
            </w:pPr>
            <w:r w:rsidRPr="00861087">
              <w:rPr>
                <w:rFonts w:cstheme="minorHAnsi"/>
              </w:rPr>
              <w:t>Policy Owner</w:t>
            </w:r>
          </w:p>
        </w:tc>
        <w:tc>
          <w:tcPr>
            <w:tcW w:w="3969" w:type="dxa"/>
          </w:tcPr>
          <w:p w14:paraId="575794B4" w14:textId="2F775145" w:rsidR="006B6040" w:rsidRPr="00861087" w:rsidRDefault="006B6040" w:rsidP="007B26AA">
            <w:pPr>
              <w:rPr>
                <w:rFonts w:cstheme="minorHAnsi"/>
              </w:rPr>
            </w:pPr>
            <w:r>
              <w:rPr>
                <w:rFonts w:cstheme="minorHAnsi"/>
              </w:rPr>
              <w:t xml:space="preserve">MAB / </w:t>
            </w:r>
            <w:r w:rsidR="009D08E7">
              <w:rPr>
                <w:rFonts w:cstheme="minorHAnsi"/>
              </w:rPr>
              <w:t>NKG</w:t>
            </w:r>
          </w:p>
        </w:tc>
      </w:tr>
      <w:tr w:rsidR="006B6040" w:rsidRPr="00861087" w14:paraId="6F41A76B" w14:textId="77777777" w:rsidTr="006B6040">
        <w:trPr>
          <w:trHeight w:val="268"/>
        </w:trPr>
        <w:tc>
          <w:tcPr>
            <w:tcW w:w="2972" w:type="dxa"/>
          </w:tcPr>
          <w:p w14:paraId="0D6D1B80" w14:textId="77777777" w:rsidR="006B6040" w:rsidRPr="00861087" w:rsidRDefault="006B6040" w:rsidP="007B26AA">
            <w:pPr>
              <w:rPr>
                <w:rFonts w:cstheme="minorHAnsi"/>
              </w:rPr>
            </w:pPr>
            <w:r w:rsidRPr="00861087">
              <w:rPr>
                <w:rFonts w:cstheme="minorHAnsi"/>
              </w:rPr>
              <w:t>Annual Review Date</w:t>
            </w:r>
          </w:p>
        </w:tc>
        <w:tc>
          <w:tcPr>
            <w:tcW w:w="3969" w:type="dxa"/>
          </w:tcPr>
          <w:p w14:paraId="2DC4BADE" w14:textId="6FE0FDE7" w:rsidR="006B6040" w:rsidRPr="00861087" w:rsidRDefault="00A94847" w:rsidP="007B26AA">
            <w:pPr>
              <w:rPr>
                <w:rFonts w:cstheme="minorHAnsi"/>
              </w:rPr>
            </w:pPr>
            <w:r>
              <w:rPr>
                <w:rFonts w:cstheme="minorHAnsi"/>
              </w:rPr>
              <w:t>November</w:t>
            </w:r>
            <w:r w:rsidR="00743B0B">
              <w:rPr>
                <w:rFonts w:cstheme="minorHAnsi"/>
              </w:rPr>
              <w:t xml:space="preserve"> 20</w:t>
            </w:r>
            <w:r w:rsidR="001F673B">
              <w:rPr>
                <w:rFonts w:cstheme="minorHAnsi"/>
              </w:rPr>
              <w:t>23</w:t>
            </w:r>
          </w:p>
        </w:tc>
      </w:tr>
      <w:tr w:rsidR="006B6040" w:rsidRPr="00861087" w14:paraId="184F4D61" w14:textId="77777777" w:rsidTr="006B6040">
        <w:trPr>
          <w:trHeight w:val="268"/>
        </w:trPr>
        <w:tc>
          <w:tcPr>
            <w:tcW w:w="2972" w:type="dxa"/>
          </w:tcPr>
          <w:p w14:paraId="44C0ACBB" w14:textId="77777777" w:rsidR="006B6040" w:rsidRPr="00861087" w:rsidRDefault="006B6040" w:rsidP="007B26AA">
            <w:pPr>
              <w:rPr>
                <w:rFonts w:cstheme="minorHAnsi"/>
              </w:rPr>
            </w:pPr>
            <w:r w:rsidRPr="00861087">
              <w:rPr>
                <w:rFonts w:cstheme="minorHAnsi"/>
              </w:rPr>
              <w:t>Next Annual Review Date</w:t>
            </w:r>
          </w:p>
        </w:tc>
        <w:tc>
          <w:tcPr>
            <w:tcW w:w="3969" w:type="dxa"/>
          </w:tcPr>
          <w:p w14:paraId="2EAF5B53" w14:textId="4197E990" w:rsidR="006B6040" w:rsidRPr="00861087" w:rsidRDefault="00743B0B" w:rsidP="007B26AA">
            <w:pPr>
              <w:rPr>
                <w:rFonts w:cstheme="minorHAnsi"/>
              </w:rPr>
            </w:pPr>
            <w:r>
              <w:rPr>
                <w:rFonts w:cstheme="minorHAnsi"/>
              </w:rPr>
              <w:t>November 20</w:t>
            </w:r>
            <w:r w:rsidR="00D361F2">
              <w:rPr>
                <w:rFonts w:cstheme="minorHAnsi"/>
              </w:rPr>
              <w:t>2</w:t>
            </w:r>
            <w:r w:rsidR="001F673B">
              <w:rPr>
                <w:rFonts w:cstheme="minorHAnsi"/>
              </w:rPr>
              <w:t>4</w:t>
            </w:r>
          </w:p>
        </w:tc>
      </w:tr>
      <w:tr w:rsidR="006B6040" w:rsidRPr="00861087" w14:paraId="0F65D923" w14:textId="77777777" w:rsidTr="006B6040">
        <w:trPr>
          <w:trHeight w:val="268"/>
        </w:trPr>
        <w:tc>
          <w:tcPr>
            <w:tcW w:w="2972" w:type="dxa"/>
          </w:tcPr>
          <w:p w14:paraId="35584DFE" w14:textId="77777777" w:rsidR="006B6040" w:rsidRPr="00861087" w:rsidRDefault="006B6040" w:rsidP="007B26AA">
            <w:pPr>
              <w:rPr>
                <w:rFonts w:cstheme="minorHAnsi"/>
              </w:rPr>
            </w:pPr>
            <w:r w:rsidRPr="00861087">
              <w:rPr>
                <w:rFonts w:cstheme="minorHAnsi"/>
              </w:rPr>
              <w:t>Website</w:t>
            </w:r>
          </w:p>
        </w:tc>
        <w:tc>
          <w:tcPr>
            <w:tcW w:w="3969" w:type="dxa"/>
          </w:tcPr>
          <w:p w14:paraId="17B4D541" w14:textId="06E4B951" w:rsidR="006B6040" w:rsidRPr="00861087" w:rsidRDefault="00A94847" w:rsidP="007B26AA">
            <w:pPr>
              <w:rPr>
                <w:rFonts w:cstheme="minorHAnsi"/>
              </w:rPr>
            </w:pPr>
            <w:r>
              <w:rPr>
                <w:rFonts w:cstheme="minorHAnsi"/>
              </w:rPr>
              <w:t>Yes</w:t>
            </w:r>
          </w:p>
        </w:tc>
      </w:tr>
      <w:tr w:rsidR="006B6040" w:rsidRPr="00861087" w14:paraId="2246C11D" w14:textId="77777777" w:rsidTr="006B6040">
        <w:trPr>
          <w:trHeight w:val="268"/>
        </w:trPr>
        <w:tc>
          <w:tcPr>
            <w:tcW w:w="2972" w:type="dxa"/>
          </w:tcPr>
          <w:p w14:paraId="5147C1DF" w14:textId="77777777" w:rsidR="006B6040" w:rsidRPr="00861087" w:rsidRDefault="006B6040" w:rsidP="007B26AA">
            <w:pPr>
              <w:rPr>
                <w:rFonts w:cstheme="minorHAnsi"/>
              </w:rPr>
            </w:pPr>
            <w:r w:rsidRPr="00861087">
              <w:rPr>
                <w:rFonts w:cstheme="minorHAnsi"/>
              </w:rPr>
              <w:t>Policy Last Updated</w:t>
            </w:r>
          </w:p>
        </w:tc>
        <w:tc>
          <w:tcPr>
            <w:tcW w:w="3969" w:type="dxa"/>
          </w:tcPr>
          <w:p w14:paraId="48E55DA8" w14:textId="1947B30C" w:rsidR="006B6040" w:rsidRPr="00861087" w:rsidRDefault="001F673B" w:rsidP="007B26AA">
            <w:pPr>
              <w:rPr>
                <w:rFonts w:cstheme="minorHAnsi"/>
              </w:rPr>
            </w:pPr>
            <w:r>
              <w:rPr>
                <w:rFonts w:cstheme="minorHAnsi"/>
              </w:rPr>
              <w:t>September 202</w:t>
            </w:r>
            <w:r w:rsidR="006462EB">
              <w:rPr>
                <w:rFonts w:cstheme="minorHAnsi"/>
              </w:rPr>
              <w:t>3</w:t>
            </w:r>
          </w:p>
        </w:tc>
      </w:tr>
    </w:tbl>
    <w:p w14:paraId="0F6B292A" w14:textId="77777777" w:rsidR="006B6040" w:rsidRPr="00861087" w:rsidRDefault="006B6040" w:rsidP="006B6040">
      <w:pPr>
        <w:jc w:val="center"/>
        <w:rPr>
          <w:rFonts w:asciiTheme="minorHAnsi" w:hAnsiTheme="minorHAnsi" w:cstheme="minorHAnsi"/>
          <w:b/>
          <w:sz w:val="40"/>
        </w:rPr>
      </w:pPr>
    </w:p>
    <w:p w14:paraId="1D16E981" w14:textId="77777777" w:rsidR="006B6040" w:rsidRPr="00861087" w:rsidRDefault="006B6040" w:rsidP="006B6040">
      <w:pPr>
        <w:rPr>
          <w:rFonts w:asciiTheme="minorHAnsi" w:hAnsiTheme="minorHAnsi" w:cstheme="minorHAnsi"/>
        </w:rPr>
      </w:pPr>
    </w:p>
    <w:p w14:paraId="1308CB04" w14:textId="77777777" w:rsidR="006B6040" w:rsidRPr="00861087" w:rsidRDefault="006B6040" w:rsidP="006B6040">
      <w:pPr>
        <w:rPr>
          <w:rFonts w:asciiTheme="minorHAnsi" w:hAnsiTheme="minorHAnsi" w:cstheme="minorHAnsi"/>
        </w:rPr>
      </w:pPr>
    </w:p>
    <w:p w14:paraId="53610110" w14:textId="77777777" w:rsidR="006B6040" w:rsidRPr="00861087" w:rsidRDefault="006B6040" w:rsidP="006B6040">
      <w:pPr>
        <w:rPr>
          <w:rFonts w:asciiTheme="minorHAnsi" w:hAnsiTheme="minorHAnsi" w:cstheme="minorHAnsi"/>
        </w:rPr>
      </w:pPr>
    </w:p>
    <w:p w14:paraId="4B72ADE2" w14:textId="77777777" w:rsidR="006B6040" w:rsidRPr="00861087" w:rsidRDefault="006B6040" w:rsidP="006B6040">
      <w:pPr>
        <w:rPr>
          <w:rFonts w:asciiTheme="minorHAnsi" w:hAnsiTheme="minorHAnsi" w:cstheme="minorHAnsi"/>
        </w:rPr>
      </w:pPr>
    </w:p>
    <w:p w14:paraId="0985A699" w14:textId="77777777" w:rsidR="006B6040" w:rsidRPr="00861087" w:rsidRDefault="006B6040" w:rsidP="006B6040">
      <w:pPr>
        <w:rPr>
          <w:rFonts w:asciiTheme="minorHAnsi" w:hAnsiTheme="minorHAnsi" w:cstheme="minorHAnsi"/>
          <w:sz w:val="32"/>
        </w:rPr>
      </w:pPr>
    </w:p>
    <w:p w14:paraId="6754F9D8" w14:textId="77777777" w:rsidR="006B6040" w:rsidRPr="00861087" w:rsidRDefault="006B6040" w:rsidP="006B6040">
      <w:pPr>
        <w:rPr>
          <w:rFonts w:asciiTheme="minorHAnsi" w:hAnsiTheme="minorHAnsi" w:cstheme="minorHAnsi"/>
          <w:sz w:val="32"/>
        </w:rPr>
      </w:pPr>
    </w:p>
    <w:p w14:paraId="4201D180" w14:textId="77777777" w:rsidR="006B6040" w:rsidRDefault="006B6040" w:rsidP="006B6040">
      <w:pPr>
        <w:rPr>
          <w:rFonts w:asciiTheme="minorHAnsi" w:hAnsiTheme="minorHAnsi" w:cstheme="minorHAnsi"/>
          <w:sz w:val="32"/>
        </w:rPr>
      </w:pPr>
    </w:p>
    <w:p w14:paraId="5ACEE2E8" w14:textId="77777777" w:rsidR="006B6040" w:rsidRDefault="006B6040" w:rsidP="006B6040">
      <w:pPr>
        <w:rPr>
          <w:rFonts w:asciiTheme="minorHAnsi" w:hAnsiTheme="minorHAnsi" w:cstheme="minorHAnsi"/>
          <w:sz w:val="32"/>
        </w:rPr>
      </w:pPr>
    </w:p>
    <w:p w14:paraId="34B3A815" w14:textId="77777777" w:rsidR="006B6040" w:rsidRPr="00F92ADB" w:rsidRDefault="006B6040" w:rsidP="00F92ADB">
      <w:pPr>
        <w:spacing w:after="160" w:line="259" w:lineRule="auto"/>
        <w:rPr>
          <w:rFonts w:asciiTheme="minorHAnsi" w:hAnsiTheme="minorHAnsi" w:cstheme="minorHAnsi"/>
        </w:rPr>
      </w:pPr>
    </w:p>
    <w:p w14:paraId="6B43EC6B" w14:textId="77777777" w:rsidR="006B6040" w:rsidRDefault="006B6040" w:rsidP="00017F19">
      <w:pPr>
        <w:pStyle w:val="Header"/>
        <w:rPr>
          <w:rFonts w:ascii="Arial" w:hAnsi="Arial"/>
          <w:b/>
          <w:sz w:val="72"/>
        </w:rPr>
      </w:pPr>
    </w:p>
    <w:p w14:paraId="27D1A6F4" w14:textId="77777777" w:rsidR="006B6040" w:rsidRDefault="006B6040" w:rsidP="00017F19">
      <w:pPr>
        <w:pStyle w:val="Header"/>
        <w:rPr>
          <w:rFonts w:ascii="Arial" w:hAnsi="Arial"/>
          <w:b/>
          <w:sz w:val="72"/>
        </w:rPr>
      </w:pPr>
    </w:p>
    <w:p w14:paraId="30FEAFA4" w14:textId="77777777" w:rsidR="006B6040" w:rsidRDefault="006B6040" w:rsidP="00017F19">
      <w:pPr>
        <w:pStyle w:val="Header"/>
        <w:rPr>
          <w:rFonts w:ascii="Arial" w:hAnsi="Arial"/>
          <w:b/>
          <w:sz w:val="72"/>
        </w:rPr>
      </w:pPr>
    </w:p>
    <w:p w14:paraId="35A4E79E" w14:textId="77777777" w:rsidR="006B6040" w:rsidRDefault="006B6040" w:rsidP="00017F19">
      <w:pPr>
        <w:pStyle w:val="Header"/>
        <w:rPr>
          <w:rFonts w:ascii="Arial" w:hAnsi="Arial"/>
          <w:b/>
          <w:sz w:val="72"/>
        </w:rPr>
      </w:pPr>
    </w:p>
    <w:p w14:paraId="1256655A" w14:textId="77777777" w:rsidR="006B6040" w:rsidRDefault="006B6040" w:rsidP="00017F19">
      <w:pPr>
        <w:pStyle w:val="Header"/>
        <w:rPr>
          <w:rFonts w:ascii="Arial" w:hAnsi="Arial"/>
          <w:b/>
          <w:sz w:val="72"/>
        </w:rPr>
      </w:pPr>
    </w:p>
    <w:p w14:paraId="177AF614" w14:textId="77777777" w:rsidR="006B6040" w:rsidRDefault="006B6040" w:rsidP="00017F19">
      <w:pPr>
        <w:pStyle w:val="Header"/>
        <w:rPr>
          <w:rFonts w:ascii="Arial" w:hAnsi="Arial"/>
          <w:b/>
          <w:sz w:val="72"/>
        </w:rPr>
      </w:pPr>
    </w:p>
    <w:p w14:paraId="633F2293" w14:textId="77777777" w:rsidR="00017F19" w:rsidRPr="003824BC" w:rsidRDefault="00017F19" w:rsidP="00017F19">
      <w:pPr>
        <w:pStyle w:val="Header"/>
        <w:rPr>
          <w:rFonts w:ascii="Arial" w:hAnsi="Arial"/>
          <w:sz w:val="72"/>
        </w:rPr>
      </w:pPr>
      <w:r w:rsidRPr="003824BC">
        <w:rPr>
          <w:rFonts w:ascii="Arial" w:hAnsi="Arial"/>
          <w:sz w:val="72"/>
        </w:rPr>
        <w:tab/>
      </w:r>
      <w:r w:rsidRPr="003824BC">
        <w:rPr>
          <w:rFonts w:ascii="Arial" w:hAnsi="Arial"/>
          <w:sz w:val="72"/>
        </w:rPr>
        <w:tab/>
      </w:r>
    </w:p>
    <w:p w14:paraId="081E3BEB" w14:textId="77777777" w:rsidR="00017F19" w:rsidRPr="003824BC" w:rsidRDefault="00017F19" w:rsidP="00017F19">
      <w:pPr>
        <w:pStyle w:val="Header"/>
        <w:rPr>
          <w:rFonts w:ascii="Arial" w:hAnsi="Arial"/>
        </w:rPr>
      </w:pPr>
    </w:p>
    <w:p w14:paraId="0AED6A09" w14:textId="77777777" w:rsidR="00B029AD" w:rsidRDefault="00B029AD" w:rsidP="002427F2">
      <w:pPr>
        <w:autoSpaceDE w:val="0"/>
        <w:autoSpaceDN w:val="0"/>
        <w:adjustRightInd w:val="0"/>
        <w:jc w:val="center"/>
        <w:rPr>
          <w:rFonts w:ascii="ArialMT" w:hAnsi="ArialMT"/>
          <w:sz w:val="40"/>
          <w:szCs w:val="40"/>
          <w:lang w:val="en-US"/>
        </w:rPr>
      </w:pPr>
    </w:p>
    <w:p w14:paraId="51098F92" w14:textId="77777777" w:rsidR="008D6967" w:rsidRPr="003824BC" w:rsidRDefault="008F74A6" w:rsidP="002427F2">
      <w:pPr>
        <w:autoSpaceDE w:val="0"/>
        <w:autoSpaceDN w:val="0"/>
        <w:adjustRightInd w:val="0"/>
        <w:jc w:val="center"/>
        <w:rPr>
          <w:rFonts w:ascii="ArialMT" w:hAnsi="ArialMT"/>
          <w:sz w:val="40"/>
          <w:szCs w:val="40"/>
          <w:lang w:val="en-US"/>
        </w:rPr>
      </w:pPr>
      <w:r>
        <w:rPr>
          <w:rFonts w:ascii="ArialMT" w:hAnsi="ArialMT"/>
          <w:sz w:val="40"/>
          <w:szCs w:val="40"/>
          <w:lang w:val="en-US"/>
        </w:rPr>
        <w:t xml:space="preserve">Careers </w:t>
      </w:r>
      <w:r w:rsidR="000F7F3F">
        <w:rPr>
          <w:rFonts w:ascii="ArialMT" w:hAnsi="ArialMT"/>
          <w:sz w:val="40"/>
          <w:szCs w:val="40"/>
          <w:lang w:val="en-US"/>
        </w:rPr>
        <w:t>Education, Information, Advice and Guidance (CEIAG):</w:t>
      </w:r>
      <w:r w:rsidR="00AE7AF5">
        <w:rPr>
          <w:rFonts w:ascii="ArialMT" w:hAnsi="ArialMT"/>
          <w:sz w:val="40"/>
          <w:szCs w:val="40"/>
          <w:lang w:val="en-US"/>
        </w:rPr>
        <w:t xml:space="preserve"> </w:t>
      </w:r>
      <w:r w:rsidR="008D6967" w:rsidRPr="003824BC">
        <w:rPr>
          <w:rFonts w:ascii="ArialMT" w:hAnsi="ArialMT"/>
          <w:sz w:val="40"/>
          <w:szCs w:val="40"/>
          <w:lang w:val="en-US"/>
        </w:rPr>
        <w:t xml:space="preserve">Policy </w:t>
      </w:r>
      <w:r w:rsidR="00D92801" w:rsidRPr="003824BC">
        <w:rPr>
          <w:rFonts w:ascii="ArialMT" w:hAnsi="ArialMT"/>
          <w:sz w:val="40"/>
          <w:szCs w:val="40"/>
          <w:lang w:val="en-US"/>
        </w:rPr>
        <w:t>Statement</w:t>
      </w:r>
    </w:p>
    <w:p w14:paraId="76D5A5A2" w14:textId="77777777" w:rsidR="008D6967" w:rsidRPr="003824BC" w:rsidRDefault="008D6967">
      <w:pPr>
        <w:autoSpaceDE w:val="0"/>
        <w:autoSpaceDN w:val="0"/>
        <w:adjustRightInd w:val="0"/>
        <w:rPr>
          <w:rFonts w:ascii="ArialMT" w:hAnsi="ArialMT"/>
          <w:sz w:val="20"/>
          <w:szCs w:val="20"/>
          <w:lang w:val="en-US"/>
        </w:rPr>
      </w:pPr>
    </w:p>
    <w:p w14:paraId="7D4030A2" w14:textId="77777777" w:rsidR="00B029AD" w:rsidRDefault="00B029AD" w:rsidP="000B2146">
      <w:pPr>
        <w:autoSpaceDE w:val="0"/>
        <w:autoSpaceDN w:val="0"/>
        <w:adjustRightInd w:val="0"/>
        <w:jc w:val="both"/>
        <w:rPr>
          <w:rFonts w:ascii="Arial Narrow" w:hAnsi="Arial Narrow"/>
          <w:b/>
          <w:bCs/>
          <w:sz w:val="22"/>
          <w:szCs w:val="22"/>
          <w:lang w:val="en-US"/>
        </w:rPr>
      </w:pPr>
    </w:p>
    <w:p w14:paraId="2296AF90" w14:textId="77777777" w:rsidR="00B029AD" w:rsidRDefault="00B029AD" w:rsidP="000B2146">
      <w:pPr>
        <w:autoSpaceDE w:val="0"/>
        <w:autoSpaceDN w:val="0"/>
        <w:adjustRightInd w:val="0"/>
        <w:jc w:val="both"/>
        <w:rPr>
          <w:rFonts w:ascii="Arial Narrow" w:hAnsi="Arial Narrow"/>
          <w:b/>
          <w:bCs/>
          <w:sz w:val="22"/>
          <w:szCs w:val="22"/>
          <w:lang w:val="en-US"/>
        </w:rPr>
      </w:pPr>
    </w:p>
    <w:p w14:paraId="09D9F2C5" w14:textId="77777777" w:rsidR="00AE7AF5" w:rsidRPr="00C03F75" w:rsidRDefault="008D6967" w:rsidP="000B2146">
      <w:pPr>
        <w:autoSpaceDE w:val="0"/>
        <w:autoSpaceDN w:val="0"/>
        <w:adjustRightInd w:val="0"/>
        <w:jc w:val="both"/>
        <w:rPr>
          <w:rFonts w:asciiTheme="minorHAnsi" w:hAnsiTheme="minorHAnsi"/>
          <w:b/>
          <w:bCs/>
          <w:lang w:val="en-US"/>
        </w:rPr>
      </w:pPr>
      <w:r w:rsidRPr="00B376C0">
        <w:rPr>
          <w:rFonts w:asciiTheme="minorHAnsi" w:hAnsiTheme="minorHAnsi"/>
          <w:b/>
          <w:bCs/>
          <w:lang w:val="en-US"/>
        </w:rPr>
        <w:t>Introduction</w:t>
      </w:r>
    </w:p>
    <w:p w14:paraId="09431FAD" w14:textId="2BAE7C21" w:rsidR="00BC4D38" w:rsidRPr="00BC4D38" w:rsidRDefault="00D92801" w:rsidP="00BC4D38">
      <w:pPr>
        <w:autoSpaceDE w:val="0"/>
        <w:autoSpaceDN w:val="0"/>
        <w:adjustRightInd w:val="0"/>
        <w:jc w:val="both"/>
        <w:rPr>
          <w:rFonts w:asciiTheme="minorHAnsi" w:hAnsiTheme="minorHAnsi" w:cs="Arial"/>
        </w:rPr>
      </w:pPr>
      <w:r w:rsidRPr="00B376C0">
        <w:rPr>
          <w:rFonts w:asciiTheme="minorHAnsi" w:hAnsiTheme="minorHAnsi"/>
          <w:lang w:val="en-US"/>
        </w:rPr>
        <w:t>Bloxham</w:t>
      </w:r>
      <w:r w:rsidR="008D6967" w:rsidRPr="00B376C0">
        <w:rPr>
          <w:rFonts w:asciiTheme="minorHAnsi" w:hAnsiTheme="minorHAnsi"/>
          <w:lang w:val="en-US"/>
        </w:rPr>
        <w:t xml:space="preserve"> </w:t>
      </w:r>
      <w:r w:rsidR="0041794E" w:rsidRPr="00B376C0">
        <w:rPr>
          <w:rFonts w:asciiTheme="minorHAnsi" w:hAnsiTheme="minorHAnsi"/>
          <w:lang w:val="en-US"/>
        </w:rPr>
        <w:t>S</w:t>
      </w:r>
      <w:r w:rsidR="008D6967" w:rsidRPr="00B376C0">
        <w:rPr>
          <w:rFonts w:asciiTheme="minorHAnsi" w:hAnsiTheme="minorHAnsi"/>
          <w:lang w:val="en-US"/>
        </w:rPr>
        <w:t xml:space="preserve">chool </w:t>
      </w:r>
      <w:r w:rsidR="008F74A6" w:rsidRPr="00B376C0">
        <w:rPr>
          <w:rFonts w:asciiTheme="minorHAnsi" w:hAnsiTheme="minorHAnsi" w:cs="Arial"/>
        </w:rPr>
        <w:t>is committed to Careers Education as a vital means of giving all students the skills, knowledge and understanding to manage their own lifelong learning and career development.  Careers Education will prepare all individuals for the opportunities, responsibilities and experiences of education, training and employment and also the challenges of adult life. Careers Education will be at the heart of Bloxham School’s curriculum</w:t>
      </w:r>
      <w:r w:rsidR="00295534" w:rsidRPr="00B376C0">
        <w:rPr>
          <w:rFonts w:asciiTheme="minorHAnsi" w:hAnsiTheme="minorHAnsi" w:cs="Arial"/>
        </w:rPr>
        <w:t xml:space="preserve">, </w:t>
      </w:r>
      <w:r w:rsidR="008F74A6" w:rsidRPr="00B376C0">
        <w:rPr>
          <w:rFonts w:asciiTheme="minorHAnsi" w:hAnsiTheme="minorHAnsi" w:cs="Arial"/>
        </w:rPr>
        <w:t>integrate</w:t>
      </w:r>
      <w:r w:rsidR="00295534" w:rsidRPr="00B376C0">
        <w:rPr>
          <w:rFonts w:asciiTheme="minorHAnsi" w:hAnsiTheme="minorHAnsi" w:cs="Arial"/>
        </w:rPr>
        <w:t>d</w:t>
      </w:r>
      <w:r w:rsidR="008F74A6" w:rsidRPr="00B376C0">
        <w:rPr>
          <w:rFonts w:asciiTheme="minorHAnsi" w:hAnsiTheme="minorHAnsi" w:cs="Arial"/>
        </w:rPr>
        <w:t xml:space="preserve"> with </w:t>
      </w:r>
      <w:r w:rsidR="008F74A6" w:rsidRPr="00677355">
        <w:rPr>
          <w:rFonts w:asciiTheme="minorHAnsi" w:hAnsiTheme="minorHAnsi" w:cs="Arial"/>
        </w:rPr>
        <w:t>Perso</w:t>
      </w:r>
      <w:r w:rsidR="007438B4" w:rsidRPr="00677355">
        <w:rPr>
          <w:rFonts w:asciiTheme="minorHAnsi" w:hAnsiTheme="minorHAnsi" w:cs="Arial"/>
        </w:rPr>
        <w:t>nal and Social Development (PSH</w:t>
      </w:r>
      <w:r w:rsidR="008F74A6" w:rsidRPr="00677355">
        <w:rPr>
          <w:rFonts w:asciiTheme="minorHAnsi" w:hAnsiTheme="minorHAnsi" w:cs="Arial"/>
        </w:rPr>
        <w:t xml:space="preserve">E) and </w:t>
      </w:r>
      <w:r w:rsidR="008F74A6" w:rsidRPr="00677355">
        <w:rPr>
          <w:rFonts w:asciiTheme="minorHAnsi" w:hAnsiTheme="minorHAnsi" w:cs="Myriad"/>
          <w:lang w:eastAsia="en-GB"/>
        </w:rPr>
        <w:t xml:space="preserve">supported through linked programmes and timetabled sessions such as </w:t>
      </w:r>
      <w:r w:rsidR="00295534" w:rsidRPr="00677355">
        <w:rPr>
          <w:rFonts w:asciiTheme="minorHAnsi" w:hAnsiTheme="minorHAnsi" w:cs="Myriad"/>
          <w:lang w:eastAsia="en-GB"/>
        </w:rPr>
        <w:t>Tutor Time</w:t>
      </w:r>
      <w:r w:rsidR="008F74A6" w:rsidRPr="00677355">
        <w:rPr>
          <w:rFonts w:asciiTheme="minorHAnsi" w:hAnsiTheme="minorHAnsi" w:cs="Myriad"/>
          <w:lang w:eastAsia="en-GB"/>
        </w:rPr>
        <w:t>,</w:t>
      </w:r>
      <w:r w:rsidR="00295534" w:rsidRPr="00677355">
        <w:rPr>
          <w:rFonts w:asciiTheme="minorHAnsi" w:hAnsiTheme="minorHAnsi" w:cs="Myriad"/>
          <w:lang w:eastAsia="en-GB"/>
        </w:rPr>
        <w:t xml:space="preserve"> </w:t>
      </w:r>
      <w:r w:rsidR="008F74A6" w:rsidRPr="00677355">
        <w:rPr>
          <w:rFonts w:asciiTheme="minorHAnsi" w:hAnsiTheme="minorHAnsi" w:cs="Myriad"/>
          <w:lang w:eastAsia="en-GB"/>
        </w:rPr>
        <w:t>House Nights-in</w:t>
      </w:r>
      <w:r w:rsidR="00295534" w:rsidRPr="00677355">
        <w:rPr>
          <w:rFonts w:asciiTheme="minorHAnsi" w:hAnsiTheme="minorHAnsi" w:cs="Myriad"/>
          <w:lang w:eastAsia="en-GB"/>
        </w:rPr>
        <w:t>, the Sixth Form Seminar Series and study skill sessions</w:t>
      </w:r>
      <w:r w:rsidR="008F74A6" w:rsidRPr="00677355">
        <w:rPr>
          <w:rFonts w:asciiTheme="minorHAnsi" w:hAnsiTheme="minorHAnsi" w:cs="Myriad"/>
          <w:lang w:eastAsia="en-GB"/>
        </w:rPr>
        <w:t>. In addition to this, importan</w:t>
      </w:r>
      <w:r w:rsidR="00295534" w:rsidRPr="00677355">
        <w:rPr>
          <w:rFonts w:asciiTheme="minorHAnsi" w:hAnsiTheme="minorHAnsi" w:cs="Myriad"/>
          <w:lang w:eastAsia="en-GB"/>
        </w:rPr>
        <w:t>t events such as Future Focus, c</w:t>
      </w:r>
      <w:r w:rsidR="007010EE" w:rsidRPr="00677355">
        <w:rPr>
          <w:rFonts w:asciiTheme="minorHAnsi" w:hAnsiTheme="minorHAnsi" w:cs="Myriad"/>
          <w:lang w:eastAsia="en-GB"/>
        </w:rPr>
        <w:t>areers fairs</w:t>
      </w:r>
      <w:r w:rsidR="008F74A6" w:rsidRPr="00677355">
        <w:rPr>
          <w:rFonts w:asciiTheme="minorHAnsi" w:hAnsiTheme="minorHAnsi" w:cs="Myriad"/>
          <w:lang w:eastAsia="en-GB"/>
        </w:rPr>
        <w:t>, employer talks, work tasters/placements, one-to-one careers advice</w:t>
      </w:r>
      <w:r w:rsidR="00295534" w:rsidRPr="00677355">
        <w:rPr>
          <w:rFonts w:asciiTheme="minorHAnsi" w:hAnsiTheme="minorHAnsi" w:cs="Myriad"/>
          <w:lang w:eastAsia="en-GB"/>
        </w:rPr>
        <w:t xml:space="preserve">, the Careers </w:t>
      </w:r>
      <w:r w:rsidR="002D4DA7">
        <w:rPr>
          <w:rFonts w:asciiTheme="minorHAnsi" w:hAnsiTheme="minorHAnsi" w:cs="Myriad"/>
          <w:lang w:eastAsia="en-GB"/>
        </w:rPr>
        <w:t>Lunch</w:t>
      </w:r>
      <w:r w:rsidR="00295534" w:rsidRPr="00677355">
        <w:rPr>
          <w:rFonts w:asciiTheme="minorHAnsi" w:hAnsiTheme="minorHAnsi" w:cs="Myriad"/>
          <w:lang w:eastAsia="en-GB"/>
        </w:rPr>
        <w:t xml:space="preserve"> Club</w:t>
      </w:r>
      <w:r w:rsidR="005905D7">
        <w:rPr>
          <w:rFonts w:asciiTheme="minorHAnsi" w:hAnsiTheme="minorHAnsi" w:cs="Myriad"/>
          <w:lang w:eastAsia="en-GB"/>
        </w:rPr>
        <w:t>,</w:t>
      </w:r>
      <w:r w:rsidR="008F74A6" w:rsidRPr="00677355">
        <w:rPr>
          <w:rFonts w:asciiTheme="minorHAnsi" w:hAnsiTheme="minorHAnsi" w:cs="Myriad"/>
          <w:lang w:eastAsia="en-GB"/>
        </w:rPr>
        <w:t xml:space="preserve"> UCAS</w:t>
      </w:r>
      <w:r w:rsidR="007010EE" w:rsidRPr="00677355">
        <w:rPr>
          <w:rFonts w:asciiTheme="minorHAnsi" w:hAnsiTheme="minorHAnsi" w:cs="Myriad"/>
          <w:lang w:eastAsia="en-GB"/>
        </w:rPr>
        <w:t>, Apprenticeship</w:t>
      </w:r>
      <w:r w:rsidR="008F74A6" w:rsidRPr="00677355">
        <w:rPr>
          <w:rFonts w:asciiTheme="minorHAnsi" w:hAnsiTheme="minorHAnsi" w:cs="Myriad"/>
          <w:lang w:eastAsia="en-GB"/>
        </w:rPr>
        <w:t xml:space="preserve"> </w:t>
      </w:r>
      <w:r w:rsidR="007010EE" w:rsidRPr="00677355">
        <w:rPr>
          <w:rFonts w:asciiTheme="minorHAnsi" w:hAnsiTheme="minorHAnsi" w:cs="Myriad"/>
          <w:lang w:eastAsia="en-GB"/>
        </w:rPr>
        <w:t xml:space="preserve">and FE </w:t>
      </w:r>
      <w:r w:rsidR="008F74A6" w:rsidRPr="00677355">
        <w:rPr>
          <w:rFonts w:asciiTheme="minorHAnsi" w:hAnsiTheme="minorHAnsi" w:cs="Myriad"/>
          <w:lang w:eastAsia="en-GB"/>
        </w:rPr>
        <w:t>guidance will</w:t>
      </w:r>
      <w:r w:rsidR="008F74A6" w:rsidRPr="00B376C0">
        <w:rPr>
          <w:rFonts w:asciiTheme="minorHAnsi" w:hAnsiTheme="minorHAnsi" w:cs="Myriad"/>
          <w:lang w:eastAsia="en-GB"/>
        </w:rPr>
        <w:t xml:space="preserve"> play a vital role in helping pupils manage progression in their learning and work-related skills as they move through the school and beyond.</w:t>
      </w:r>
      <w:r w:rsidR="00295534" w:rsidRPr="00B376C0">
        <w:rPr>
          <w:rFonts w:asciiTheme="minorHAnsi" w:hAnsiTheme="minorHAnsi" w:cs="Arial"/>
        </w:rPr>
        <w:t xml:space="preserve"> </w:t>
      </w:r>
      <w:r w:rsidR="008F74A6" w:rsidRPr="00B376C0">
        <w:rPr>
          <w:rFonts w:asciiTheme="minorHAnsi" w:hAnsiTheme="minorHAnsi" w:cs="Arial"/>
        </w:rPr>
        <w:t>Emphasis will be upon impartial, confidential and informed advice, delivered within a fr</w:t>
      </w:r>
      <w:r w:rsidR="00295534" w:rsidRPr="00B376C0">
        <w:rPr>
          <w:rFonts w:asciiTheme="minorHAnsi" w:hAnsiTheme="minorHAnsi" w:cs="Arial"/>
        </w:rPr>
        <w:t xml:space="preserve">amework of Equal Opportunities. </w:t>
      </w:r>
      <w:r w:rsidR="008F74A6" w:rsidRPr="00B376C0">
        <w:rPr>
          <w:rFonts w:asciiTheme="minorHAnsi" w:hAnsiTheme="minorHAnsi" w:cs="Arial"/>
        </w:rPr>
        <w:t xml:space="preserve">There will be support from </w:t>
      </w:r>
      <w:r w:rsidR="001A0549">
        <w:rPr>
          <w:rFonts w:asciiTheme="minorHAnsi" w:hAnsiTheme="minorHAnsi" w:cs="Arial"/>
        </w:rPr>
        <w:t>independent</w:t>
      </w:r>
      <w:r w:rsidR="00295534" w:rsidRPr="00B376C0">
        <w:rPr>
          <w:rFonts w:asciiTheme="minorHAnsi" w:hAnsiTheme="minorHAnsi" w:cs="Arial"/>
        </w:rPr>
        <w:t xml:space="preserve"> </w:t>
      </w:r>
      <w:r w:rsidR="00B029AD" w:rsidRPr="00B376C0">
        <w:rPr>
          <w:rFonts w:asciiTheme="minorHAnsi" w:hAnsiTheme="minorHAnsi" w:cs="Arial"/>
        </w:rPr>
        <w:t>Career Services</w:t>
      </w:r>
      <w:r w:rsidR="000B1C54">
        <w:rPr>
          <w:rFonts w:asciiTheme="minorHAnsi" w:hAnsiTheme="minorHAnsi" w:cs="Arial"/>
        </w:rPr>
        <w:t xml:space="preserve"> (who follow the Matrix Standard and staff are all awarded with a Level 6 Diploma in Career Guidance and Development)</w:t>
      </w:r>
      <w:r w:rsidR="00B029AD" w:rsidRPr="00B376C0">
        <w:rPr>
          <w:rFonts w:asciiTheme="minorHAnsi" w:hAnsiTheme="minorHAnsi" w:cs="Arial"/>
        </w:rPr>
        <w:t xml:space="preserve">, </w:t>
      </w:r>
      <w:r w:rsidR="008F74A6" w:rsidRPr="00B376C0">
        <w:rPr>
          <w:rFonts w:asciiTheme="minorHAnsi" w:hAnsiTheme="minorHAnsi" w:cs="Arial"/>
        </w:rPr>
        <w:t xml:space="preserve">as outlined in the </w:t>
      </w:r>
      <w:r w:rsidR="00295534" w:rsidRPr="00B376C0">
        <w:rPr>
          <w:rFonts w:asciiTheme="minorHAnsi" w:hAnsiTheme="minorHAnsi" w:cs="Arial"/>
        </w:rPr>
        <w:t>Delivery Agreement</w:t>
      </w:r>
      <w:r w:rsidR="00B029AD" w:rsidRPr="00B376C0">
        <w:rPr>
          <w:rFonts w:asciiTheme="minorHAnsi" w:hAnsiTheme="minorHAnsi" w:cs="Arial"/>
        </w:rPr>
        <w:t xml:space="preserve"> and detailed in the Careers Curriculum Framework</w:t>
      </w:r>
      <w:r w:rsidR="00295534" w:rsidRPr="00B376C0">
        <w:rPr>
          <w:rFonts w:asciiTheme="minorHAnsi" w:hAnsiTheme="minorHAnsi" w:cs="Arial"/>
        </w:rPr>
        <w:t xml:space="preserve">. </w:t>
      </w:r>
    </w:p>
    <w:p w14:paraId="6F22D47C" w14:textId="77777777" w:rsidR="00750436" w:rsidRPr="00B376C0" w:rsidRDefault="00750436" w:rsidP="008F74A6">
      <w:pPr>
        <w:autoSpaceDE w:val="0"/>
        <w:autoSpaceDN w:val="0"/>
        <w:adjustRightInd w:val="0"/>
        <w:jc w:val="both"/>
        <w:rPr>
          <w:rFonts w:asciiTheme="minorHAnsi" w:hAnsiTheme="minorHAnsi" w:cs="Arial"/>
        </w:rPr>
      </w:pPr>
    </w:p>
    <w:p w14:paraId="263E926F" w14:textId="112CA82D" w:rsidR="00BC4D38" w:rsidRDefault="008F74A6" w:rsidP="00EC6FB5">
      <w:pPr>
        <w:autoSpaceDE w:val="0"/>
        <w:autoSpaceDN w:val="0"/>
        <w:adjustRightInd w:val="0"/>
        <w:jc w:val="both"/>
        <w:rPr>
          <w:rFonts w:asciiTheme="minorHAnsi" w:hAnsiTheme="minorHAnsi" w:cs="Arial"/>
        </w:rPr>
      </w:pPr>
      <w:r w:rsidRPr="00B376C0">
        <w:rPr>
          <w:rFonts w:asciiTheme="minorHAnsi" w:hAnsiTheme="minorHAnsi" w:cs="Arial"/>
        </w:rPr>
        <w:t>Career</w:t>
      </w:r>
      <w:r w:rsidR="00C03F75">
        <w:rPr>
          <w:rFonts w:asciiTheme="minorHAnsi" w:hAnsiTheme="minorHAnsi" w:cs="Arial"/>
        </w:rPr>
        <w:t>s</w:t>
      </w:r>
      <w:r w:rsidRPr="00B376C0">
        <w:rPr>
          <w:rFonts w:asciiTheme="minorHAnsi" w:hAnsiTheme="minorHAnsi" w:cs="Arial"/>
        </w:rPr>
        <w:t xml:space="preserve"> Education </w:t>
      </w:r>
      <w:r w:rsidR="00B029AD" w:rsidRPr="00B376C0">
        <w:rPr>
          <w:rFonts w:asciiTheme="minorHAnsi" w:hAnsiTheme="minorHAnsi" w:cs="Arial"/>
        </w:rPr>
        <w:t xml:space="preserve">at Bloxham School follows the </w:t>
      </w:r>
      <w:r w:rsidR="00BC4D38">
        <w:rPr>
          <w:rFonts w:asciiTheme="minorHAnsi" w:hAnsiTheme="minorHAnsi" w:cs="Arial"/>
        </w:rPr>
        <w:t xml:space="preserve">Gatsby Charitable Foundation’s Benchmarks plus the </w:t>
      </w:r>
      <w:r w:rsidR="00B029AD" w:rsidRPr="00B376C0">
        <w:rPr>
          <w:rFonts w:asciiTheme="minorHAnsi" w:hAnsiTheme="minorHAnsi" w:cs="Arial"/>
        </w:rPr>
        <w:t xml:space="preserve">guidelines outlined by </w:t>
      </w:r>
      <w:r w:rsidR="00B029AD" w:rsidRPr="009D101E">
        <w:rPr>
          <w:rFonts w:asciiTheme="minorHAnsi" w:hAnsiTheme="minorHAnsi" w:cs="Arial"/>
          <w:shd w:val="clear" w:color="auto" w:fill="FFFFFF" w:themeFill="background1"/>
        </w:rPr>
        <w:t>CEIAG (Careers Education, In</w:t>
      </w:r>
      <w:r w:rsidR="007010EE" w:rsidRPr="009D101E">
        <w:rPr>
          <w:rFonts w:asciiTheme="minorHAnsi" w:hAnsiTheme="minorHAnsi" w:cs="Arial"/>
          <w:shd w:val="clear" w:color="auto" w:fill="FFFFFF" w:themeFill="background1"/>
        </w:rPr>
        <w:t>formation, Advice and Guidance), which reflects the aims of careers education from the revised (</w:t>
      </w:r>
      <w:r w:rsidR="003C5B11" w:rsidRPr="009D101E">
        <w:rPr>
          <w:rFonts w:asciiTheme="minorHAnsi" w:hAnsiTheme="minorHAnsi" w:cs="Arial"/>
          <w:shd w:val="clear" w:color="auto" w:fill="FFFFFF" w:themeFill="background1"/>
        </w:rPr>
        <w:t>January 2023</w:t>
      </w:r>
      <w:r w:rsidR="007010EE" w:rsidRPr="009D101E">
        <w:rPr>
          <w:rFonts w:asciiTheme="minorHAnsi" w:hAnsiTheme="minorHAnsi" w:cs="Arial"/>
          <w:shd w:val="clear" w:color="auto" w:fill="FFFFFF" w:themeFill="background1"/>
        </w:rPr>
        <w:t xml:space="preserve">) </w:t>
      </w:r>
      <w:r w:rsidR="00BC4D38" w:rsidRPr="009D101E">
        <w:rPr>
          <w:rFonts w:asciiTheme="minorHAnsi" w:hAnsiTheme="minorHAnsi" w:cs="Arial"/>
          <w:i/>
          <w:shd w:val="clear" w:color="auto" w:fill="FFFFFF" w:themeFill="background1"/>
        </w:rPr>
        <w:t>Careers</w:t>
      </w:r>
      <w:r w:rsidR="00BC4D38" w:rsidRPr="009D101E">
        <w:rPr>
          <w:rFonts w:asciiTheme="minorHAnsi" w:hAnsiTheme="minorHAnsi" w:cs="Arial"/>
          <w:shd w:val="clear" w:color="auto" w:fill="FFFFFF" w:themeFill="background1"/>
        </w:rPr>
        <w:t xml:space="preserve"> </w:t>
      </w:r>
      <w:r w:rsidR="007010EE" w:rsidRPr="009D101E">
        <w:rPr>
          <w:rFonts w:asciiTheme="minorHAnsi" w:hAnsiTheme="minorHAnsi" w:cs="Arial"/>
          <w:i/>
          <w:shd w:val="clear" w:color="auto" w:fill="FFFFFF" w:themeFill="background1"/>
        </w:rPr>
        <w:t xml:space="preserve">Guidance </w:t>
      </w:r>
      <w:r w:rsidR="00BC4D38" w:rsidRPr="009D101E">
        <w:rPr>
          <w:rFonts w:asciiTheme="minorHAnsi" w:hAnsiTheme="minorHAnsi" w:cs="Arial"/>
          <w:i/>
          <w:shd w:val="clear" w:color="auto" w:fill="FFFFFF" w:themeFill="background1"/>
        </w:rPr>
        <w:t>and Access for Education and Training Providers:</w:t>
      </w:r>
      <w:r w:rsidR="00BC4D38" w:rsidRPr="009D101E">
        <w:rPr>
          <w:rFonts w:asciiTheme="minorHAnsi" w:hAnsiTheme="minorHAnsi" w:cs="Arial"/>
          <w:i/>
        </w:rPr>
        <w:t xml:space="preserve"> </w:t>
      </w:r>
      <w:r w:rsidR="00950B9C" w:rsidRPr="00950B9C">
        <w:rPr>
          <w:rFonts w:asciiTheme="minorHAnsi" w:hAnsiTheme="minorHAnsi" w:cstheme="minorHAnsi"/>
          <w:i/>
          <w:iCs/>
        </w:rPr>
        <w:t>Statutory guidance for schools and guidance for further education colleges and sixth form colleges</w:t>
      </w:r>
      <w:r w:rsidR="00555493">
        <w:rPr>
          <w:rFonts w:asciiTheme="minorHAnsi" w:hAnsiTheme="minorHAnsi" w:cstheme="minorHAnsi"/>
          <w:i/>
          <w:iCs/>
        </w:rPr>
        <w:t xml:space="preserve"> </w:t>
      </w:r>
      <w:r w:rsidR="00555493">
        <w:rPr>
          <w:rStyle w:val="EndnoteReference"/>
          <w:rFonts w:asciiTheme="minorHAnsi" w:hAnsiTheme="minorHAnsi" w:cs="Arial"/>
        </w:rPr>
        <w:endnoteReference w:id="1"/>
      </w:r>
      <w:r w:rsidR="00BC4D38" w:rsidRPr="00BC4D38">
        <w:rPr>
          <w:rFonts w:asciiTheme="minorHAnsi" w:hAnsiTheme="minorHAnsi" w:cs="Arial"/>
          <w:i/>
        </w:rPr>
        <w:t>,</w:t>
      </w:r>
      <w:r w:rsidR="00BC4D38">
        <w:rPr>
          <w:rFonts w:asciiTheme="minorHAnsi" w:hAnsiTheme="minorHAnsi" w:cs="Arial"/>
        </w:rPr>
        <w:t xml:space="preserve"> </w:t>
      </w:r>
      <w:r w:rsidR="007010EE" w:rsidRPr="00B376C0">
        <w:rPr>
          <w:rFonts w:asciiTheme="minorHAnsi" w:hAnsiTheme="minorHAnsi" w:cs="Arial"/>
        </w:rPr>
        <w:t>and supported by the Quality in Careers Consortium, th</w:t>
      </w:r>
      <w:r w:rsidR="006D22D1" w:rsidRPr="00B376C0">
        <w:rPr>
          <w:rFonts w:asciiTheme="minorHAnsi" w:hAnsiTheme="minorHAnsi" w:cs="Arial"/>
        </w:rPr>
        <w:t xml:space="preserve">e CDI and the Careers Alliance. Careers education </w:t>
      </w:r>
      <w:r w:rsidR="00BC4D38">
        <w:rPr>
          <w:rFonts w:asciiTheme="minorHAnsi" w:hAnsiTheme="minorHAnsi" w:cs="Arial"/>
        </w:rPr>
        <w:t>adopts</w:t>
      </w:r>
      <w:r w:rsidR="006D22D1" w:rsidRPr="00B376C0">
        <w:rPr>
          <w:rFonts w:asciiTheme="minorHAnsi" w:hAnsiTheme="minorHAnsi" w:cs="Arial"/>
        </w:rPr>
        <w:t xml:space="preserve"> a whole-school </w:t>
      </w:r>
      <w:proofErr w:type="gramStart"/>
      <w:r w:rsidR="006D22D1" w:rsidRPr="00B376C0">
        <w:rPr>
          <w:rFonts w:asciiTheme="minorHAnsi" w:hAnsiTheme="minorHAnsi" w:cs="Arial"/>
        </w:rPr>
        <w:t>approach</w:t>
      </w:r>
      <w:proofErr w:type="gramEnd"/>
      <w:r w:rsidR="006D22D1" w:rsidRPr="00B376C0">
        <w:rPr>
          <w:rFonts w:asciiTheme="minorHAnsi" w:hAnsiTheme="minorHAnsi" w:cs="Arial"/>
        </w:rPr>
        <w:t xml:space="preserve"> and all students </w:t>
      </w:r>
      <w:r w:rsidR="001A0549">
        <w:rPr>
          <w:rFonts w:asciiTheme="minorHAnsi" w:hAnsiTheme="minorHAnsi" w:cs="Arial"/>
        </w:rPr>
        <w:t xml:space="preserve">(including Lower School pupils) </w:t>
      </w:r>
      <w:r w:rsidR="00BC4D38">
        <w:rPr>
          <w:rFonts w:asciiTheme="minorHAnsi" w:hAnsiTheme="minorHAnsi" w:cs="Arial"/>
        </w:rPr>
        <w:t xml:space="preserve">will </w:t>
      </w:r>
      <w:r w:rsidR="006D22D1" w:rsidRPr="00B376C0">
        <w:rPr>
          <w:rFonts w:asciiTheme="minorHAnsi" w:hAnsiTheme="minorHAnsi" w:cs="Arial"/>
        </w:rPr>
        <w:t xml:space="preserve">have access to </w:t>
      </w:r>
      <w:r w:rsidR="00EC6FB5" w:rsidRPr="00667C4E">
        <w:rPr>
          <w:rFonts w:asciiTheme="minorHAnsi" w:hAnsiTheme="minorHAnsi" w:cs="Arial"/>
        </w:rPr>
        <w:t xml:space="preserve">careers information and guidance, with a strengthening emphasis in provision for </w:t>
      </w:r>
      <w:r w:rsidR="001A0549" w:rsidRPr="00667C4E">
        <w:rPr>
          <w:rFonts w:asciiTheme="minorHAnsi" w:hAnsiTheme="minorHAnsi" w:cs="Arial"/>
        </w:rPr>
        <w:t>3</w:t>
      </w:r>
      <w:r w:rsidR="00496137" w:rsidRPr="00667C4E">
        <w:rPr>
          <w:rFonts w:asciiTheme="minorHAnsi" w:hAnsiTheme="minorHAnsi" w:cs="Arial"/>
          <w:vertAlign w:val="superscript"/>
        </w:rPr>
        <w:t>rd</w:t>
      </w:r>
      <w:r w:rsidR="006D22D1" w:rsidRPr="00667C4E">
        <w:rPr>
          <w:rFonts w:asciiTheme="minorHAnsi" w:hAnsiTheme="minorHAnsi" w:cs="Arial"/>
        </w:rPr>
        <w:t xml:space="preserve"> – U</w:t>
      </w:r>
      <w:r w:rsidR="00496137" w:rsidRPr="00667C4E">
        <w:rPr>
          <w:rFonts w:asciiTheme="minorHAnsi" w:hAnsiTheme="minorHAnsi" w:cs="Arial"/>
        </w:rPr>
        <w:t>6</w:t>
      </w:r>
      <w:r w:rsidR="00496137" w:rsidRPr="00667C4E">
        <w:rPr>
          <w:rFonts w:asciiTheme="minorHAnsi" w:hAnsiTheme="minorHAnsi" w:cs="Arial"/>
          <w:vertAlign w:val="superscript"/>
        </w:rPr>
        <w:t>th</w:t>
      </w:r>
      <w:r w:rsidR="006D22D1" w:rsidRPr="00667C4E">
        <w:rPr>
          <w:rFonts w:asciiTheme="minorHAnsi" w:hAnsiTheme="minorHAnsi" w:cs="Arial"/>
        </w:rPr>
        <w:t xml:space="preserve"> Formers</w:t>
      </w:r>
      <w:r w:rsidR="00EC6FB5" w:rsidRPr="00667C4E">
        <w:rPr>
          <w:rFonts w:asciiTheme="minorHAnsi" w:hAnsiTheme="minorHAnsi" w:cs="Arial"/>
        </w:rPr>
        <w:t xml:space="preserve">. </w:t>
      </w:r>
      <w:r w:rsidR="00BC4D38" w:rsidRPr="00667C4E">
        <w:rPr>
          <w:rFonts w:asciiTheme="minorHAnsi" w:hAnsiTheme="minorHAnsi" w:cs="Arial"/>
        </w:rPr>
        <w:t xml:space="preserve">All </w:t>
      </w:r>
      <w:proofErr w:type="gramStart"/>
      <w:r w:rsidR="00BC4D38" w:rsidRPr="00667C4E">
        <w:rPr>
          <w:rFonts w:asciiTheme="minorHAnsi" w:hAnsiTheme="minorHAnsi" w:cs="Arial"/>
        </w:rPr>
        <w:t>career</w:t>
      </w:r>
      <w:r w:rsidR="00667C4E">
        <w:rPr>
          <w:rFonts w:asciiTheme="minorHAnsi" w:hAnsiTheme="minorHAnsi" w:cs="Arial"/>
        </w:rPr>
        <w:t>s</w:t>
      </w:r>
      <w:proofErr w:type="gramEnd"/>
      <w:r w:rsidR="00667C4E">
        <w:rPr>
          <w:rFonts w:asciiTheme="minorHAnsi" w:hAnsiTheme="minorHAnsi" w:cs="Arial"/>
        </w:rPr>
        <w:t xml:space="preserve"> </w:t>
      </w:r>
      <w:r w:rsidR="00BC4D38" w:rsidRPr="00667C4E">
        <w:rPr>
          <w:rFonts w:asciiTheme="minorHAnsi" w:hAnsiTheme="minorHAnsi" w:cs="Arial"/>
        </w:rPr>
        <w:t>resources for staff</w:t>
      </w:r>
      <w:r w:rsidR="00C7394A" w:rsidRPr="00667C4E">
        <w:rPr>
          <w:rFonts w:asciiTheme="minorHAnsi" w:hAnsiTheme="minorHAnsi" w:cs="Arial"/>
        </w:rPr>
        <w:t xml:space="preserve"> will be published on Bloxham School</w:t>
      </w:r>
      <w:r w:rsidR="00033B9B" w:rsidRPr="00667C4E">
        <w:rPr>
          <w:rFonts w:asciiTheme="minorHAnsi" w:hAnsiTheme="minorHAnsi" w:cs="Arial"/>
        </w:rPr>
        <w:t>’</w:t>
      </w:r>
      <w:r w:rsidR="00C7394A" w:rsidRPr="00667C4E">
        <w:rPr>
          <w:rFonts w:asciiTheme="minorHAnsi" w:hAnsiTheme="minorHAnsi" w:cs="Arial"/>
        </w:rPr>
        <w:t>s intr</w:t>
      </w:r>
      <w:r w:rsidR="00033B9B" w:rsidRPr="00667C4E">
        <w:rPr>
          <w:rFonts w:asciiTheme="minorHAnsi" w:hAnsiTheme="minorHAnsi" w:cs="Arial"/>
        </w:rPr>
        <w:t>anet</w:t>
      </w:r>
      <w:r w:rsidR="007B6BC0">
        <w:rPr>
          <w:rFonts w:asciiTheme="minorHAnsi" w:hAnsiTheme="minorHAnsi" w:cs="Arial"/>
        </w:rPr>
        <w:t>. Career resources for pupils will be available through the Monthly newsletters, careers notice board</w:t>
      </w:r>
      <w:r w:rsidR="004C21C8">
        <w:rPr>
          <w:rFonts w:asciiTheme="minorHAnsi" w:hAnsiTheme="minorHAnsi" w:cs="Arial"/>
        </w:rPr>
        <w:t>. I</w:t>
      </w:r>
      <w:r w:rsidR="00F958C9" w:rsidRPr="00667C4E">
        <w:rPr>
          <w:rFonts w:asciiTheme="minorHAnsi" w:hAnsiTheme="minorHAnsi" w:cs="Arial"/>
        </w:rPr>
        <w:t>nformation for parents</w:t>
      </w:r>
      <w:r w:rsidR="00667C4E">
        <w:rPr>
          <w:rFonts w:asciiTheme="minorHAnsi" w:hAnsiTheme="minorHAnsi" w:cs="Arial"/>
        </w:rPr>
        <w:t xml:space="preserve"> </w:t>
      </w:r>
      <w:r w:rsidR="000B38A7" w:rsidRPr="00667C4E">
        <w:rPr>
          <w:rFonts w:asciiTheme="minorHAnsi" w:hAnsiTheme="minorHAnsi" w:cs="Arial"/>
        </w:rPr>
        <w:t>about our Careers Framework/Programme</w:t>
      </w:r>
      <w:r w:rsidR="00BC4D38" w:rsidRPr="00667C4E">
        <w:rPr>
          <w:rFonts w:asciiTheme="minorHAnsi" w:hAnsiTheme="minorHAnsi" w:cs="Arial"/>
        </w:rPr>
        <w:t xml:space="preserve">, events and supporting </w:t>
      </w:r>
      <w:r w:rsidR="000B38A7" w:rsidRPr="00667C4E">
        <w:rPr>
          <w:rFonts w:asciiTheme="minorHAnsi" w:hAnsiTheme="minorHAnsi" w:cs="Arial"/>
        </w:rPr>
        <w:t xml:space="preserve">careers information will be </w:t>
      </w:r>
      <w:r w:rsidR="00BC4D38" w:rsidRPr="00667C4E">
        <w:rPr>
          <w:rFonts w:asciiTheme="minorHAnsi" w:hAnsiTheme="minorHAnsi" w:cs="Arial"/>
        </w:rPr>
        <w:t xml:space="preserve">accessible via </w:t>
      </w:r>
      <w:r w:rsidR="000B38A7" w:rsidRPr="00667C4E">
        <w:rPr>
          <w:rFonts w:asciiTheme="minorHAnsi" w:hAnsiTheme="minorHAnsi" w:cs="Arial"/>
        </w:rPr>
        <w:t xml:space="preserve">the school’s public </w:t>
      </w:r>
      <w:r w:rsidR="00BC4D38" w:rsidRPr="00667C4E">
        <w:rPr>
          <w:rFonts w:asciiTheme="minorHAnsi" w:hAnsiTheme="minorHAnsi" w:cs="Arial"/>
        </w:rPr>
        <w:t>website</w:t>
      </w:r>
      <w:r w:rsidR="000B38A7" w:rsidRPr="00667C4E">
        <w:rPr>
          <w:rFonts w:asciiTheme="minorHAnsi" w:hAnsiTheme="minorHAnsi" w:cs="Arial"/>
        </w:rPr>
        <w:t>.</w:t>
      </w:r>
    </w:p>
    <w:p w14:paraId="498469B1" w14:textId="77777777" w:rsidR="00FB5759" w:rsidRPr="00B376C0" w:rsidRDefault="00FB5759" w:rsidP="00EC6FB5">
      <w:pPr>
        <w:autoSpaceDE w:val="0"/>
        <w:autoSpaceDN w:val="0"/>
        <w:adjustRightInd w:val="0"/>
        <w:jc w:val="both"/>
        <w:rPr>
          <w:rFonts w:asciiTheme="minorHAnsi" w:hAnsiTheme="minorHAnsi" w:cs="Arial"/>
        </w:rPr>
      </w:pPr>
    </w:p>
    <w:p w14:paraId="77D77C12" w14:textId="77777777" w:rsidR="00BC4D38" w:rsidRDefault="00BC4D38" w:rsidP="00B164D7">
      <w:pPr>
        <w:autoSpaceDE w:val="0"/>
        <w:autoSpaceDN w:val="0"/>
        <w:adjustRightInd w:val="0"/>
        <w:jc w:val="both"/>
        <w:rPr>
          <w:rFonts w:asciiTheme="minorHAnsi" w:hAnsiTheme="minorHAnsi" w:cs="Arial"/>
          <w:b/>
        </w:rPr>
      </w:pPr>
    </w:p>
    <w:p w14:paraId="20BFB767" w14:textId="77777777" w:rsidR="00B164D7" w:rsidRDefault="00B164D7" w:rsidP="00B164D7">
      <w:pPr>
        <w:autoSpaceDE w:val="0"/>
        <w:autoSpaceDN w:val="0"/>
        <w:adjustRightInd w:val="0"/>
        <w:jc w:val="both"/>
        <w:rPr>
          <w:rFonts w:asciiTheme="minorHAnsi" w:hAnsiTheme="minorHAnsi" w:cs="Arial"/>
          <w:b/>
        </w:rPr>
      </w:pPr>
      <w:r w:rsidRPr="00B376C0">
        <w:rPr>
          <w:rFonts w:asciiTheme="minorHAnsi" w:hAnsiTheme="minorHAnsi" w:cs="Arial"/>
          <w:b/>
        </w:rPr>
        <w:t>Overall Aims</w:t>
      </w:r>
    </w:p>
    <w:p w14:paraId="75EB9D71" w14:textId="77777777" w:rsidR="00CB3E25" w:rsidRPr="00B376C0" w:rsidRDefault="000B1C54" w:rsidP="00F34073">
      <w:pPr>
        <w:autoSpaceDE w:val="0"/>
        <w:autoSpaceDN w:val="0"/>
        <w:adjustRightInd w:val="0"/>
        <w:jc w:val="both"/>
        <w:rPr>
          <w:rFonts w:asciiTheme="minorHAnsi" w:hAnsiTheme="minorHAnsi" w:cs="Arial"/>
        </w:rPr>
      </w:pPr>
      <w:r>
        <w:rPr>
          <w:rFonts w:asciiTheme="minorHAnsi" w:hAnsiTheme="minorHAnsi" w:cs="Arial"/>
        </w:rPr>
        <w:t xml:space="preserve">Bloxham School aims to </w:t>
      </w:r>
      <w:r w:rsidR="005242CB">
        <w:rPr>
          <w:rFonts w:asciiTheme="minorHAnsi" w:hAnsiTheme="minorHAnsi" w:cs="Arial"/>
        </w:rPr>
        <w:t xml:space="preserve">closely </w:t>
      </w:r>
      <w:r>
        <w:rPr>
          <w:rFonts w:asciiTheme="minorHAnsi" w:hAnsiTheme="minorHAnsi" w:cs="Arial"/>
        </w:rPr>
        <w:t xml:space="preserve">follow </w:t>
      </w:r>
      <w:r w:rsidR="005242CB">
        <w:rPr>
          <w:rFonts w:asciiTheme="minorHAnsi" w:hAnsiTheme="minorHAnsi" w:cs="Arial"/>
        </w:rPr>
        <w:t xml:space="preserve">all eight Gatsby Benchmarks </w:t>
      </w:r>
      <w:r w:rsidR="00F34073">
        <w:rPr>
          <w:rFonts w:asciiTheme="minorHAnsi" w:hAnsiTheme="minorHAnsi" w:cs="Arial"/>
        </w:rPr>
        <w:t xml:space="preserve">to </w:t>
      </w:r>
      <w:r w:rsidR="00B164D7" w:rsidRPr="00B376C0">
        <w:rPr>
          <w:rFonts w:asciiTheme="minorHAnsi" w:hAnsiTheme="minorHAnsi" w:cs="Arial"/>
        </w:rPr>
        <w:t xml:space="preserve">help </w:t>
      </w:r>
      <w:r w:rsidR="00F34073">
        <w:rPr>
          <w:rFonts w:asciiTheme="minorHAnsi" w:hAnsiTheme="minorHAnsi" w:cs="Arial"/>
        </w:rPr>
        <w:t>students</w:t>
      </w:r>
      <w:r w:rsidR="00B164D7" w:rsidRPr="00B376C0">
        <w:rPr>
          <w:rFonts w:asciiTheme="minorHAnsi" w:hAnsiTheme="minorHAnsi" w:cs="Arial"/>
        </w:rPr>
        <w:t xml:space="preserve"> make the most of themselves and their opportunities in learning and work. </w:t>
      </w:r>
      <w:r w:rsidR="00CB3E25">
        <w:rPr>
          <w:rFonts w:asciiTheme="minorHAnsi" w:hAnsiTheme="minorHAnsi" w:cs="Arial"/>
        </w:rPr>
        <w:t xml:space="preserve">The Careers Department is committed to ensuring that all </w:t>
      </w:r>
      <w:r w:rsidR="009C27AC">
        <w:rPr>
          <w:rFonts w:asciiTheme="minorHAnsi" w:hAnsiTheme="minorHAnsi" w:cs="Arial"/>
        </w:rPr>
        <w:t xml:space="preserve">pupils are given the opportunity to be both informed and inspired </w:t>
      </w:r>
      <w:r w:rsidR="005B23D5">
        <w:rPr>
          <w:rFonts w:asciiTheme="minorHAnsi" w:hAnsiTheme="minorHAnsi" w:cs="Arial"/>
        </w:rPr>
        <w:t>by their careers education by enabling</w:t>
      </w:r>
      <w:r w:rsidR="00B164D7" w:rsidRPr="00B376C0">
        <w:rPr>
          <w:rFonts w:asciiTheme="minorHAnsi" w:hAnsiTheme="minorHAnsi" w:cs="Arial"/>
        </w:rPr>
        <w:t xml:space="preserve"> them to:</w:t>
      </w:r>
    </w:p>
    <w:p w14:paraId="6B03ECA3" w14:textId="77777777" w:rsidR="00CB3E25" w:rsidRDefault="00CB3E25" w:rsidP="00CB3E25">
      <w:pPr>
        <w:rPr>
          <w:rFonts w:asciiTheme="minorHAnsi" w:hAnsiTheme="minorHAnsi" w:cs="Arial"/>
        </w:rPr>
      </w:pPr>
    </w:p>
    <w:p w14:paraId="109A1B55" w14:textId="77777777" w:rsidR="00CB3E25" w:rsidRDefault="005B23D5" w:rsidP="00CB3E25">
      <w:pPr>
        <w:numPr>
          <w:ilvl w:val="0"/>
          <w:numId w:val="9"/>
        </w:numPr>
        <w:ind w:left="317" w:hanging="284"/>
        <w:rPr>
          <w:rFonts w:asciiTheme="minorHAnsi" w:hAnsiTheme="minorHAnsi" w:cs="Arial"/>
        </w:rPr>
      </w:pPr>
      <w:r>
        <w:rPr>
          <w:rFonts w:asciiTheme="minorHAnsi" w:hAnsiTheme="minorHAnsi" w:cs="Arial"/>
        </w:rPr>
        <w:t>h</w:t>
      </w:r>
      <w:r w:rsidR="00CB3E25">
        <w:rPr>
          <w:rFonts w:asciiTheme="minorHAnsi" w:hAnsiTheme="minorHAnsi" w:cs="Arial"/>
        </w:rPr>
        <w:t>ave access to impartial and independent</w:t>
      </w:r>
      <w:r w:rsidR="006A396D">
        <w:rPr>
          <w:rFonts w:asciiTheme="minorHAnsi" w:hAnsiTheme="minorHAnsi" w:cs="Arial"/>
        </w:rPr>
        <w:t xml:space="preserve"> </w:t>
      </w:r>
      <w:r w:rsidR="00CB3E25">
        <w:rPr>
          <w:rFonts w:asciiTheme="minorHAnsi" w:hAnsiTheme="minorHAnsi" w:cs="Arial"/>
        </w:rPr>
        <w:t>careers advice</w:t>
      </w:r>
      <w:r w:rsidR="006A396D">
        <w:rPr>
          <w:rStyle w:val="EndnoteReference"/>
          <w:rFonts w:asciiTheme="minorHAnsi" w:hAnsiTheme="minorHAnsi" w:cs="Arial"/>
        </w:rPr>
        <w:endnoteReference w:id="2"/>
      </w:r>
      <w:r>
        <w:rPr>
          <w:rFonts w:asciiTheme="minorHAnsi" w:hAnsiTheme="minorHAnsi" w:cs="Arial"/>
        </w:rPr>
        <w:t>;</w:t>
      </w:r>
      <w:r w:rsidR="00CB3E25">
        <w:rPr>
          <w:rFonts w:asciiTheme="minorHAnsi" w:hAnsiTheme="minorHAnsi" w:cs="Arial"/>
        </w:rPr>
        <w:t xml:space="preserve">  </w:t>
      </w:r>
    </w:p>
    <w:p w14:paraId="031757EF" w14:textId="77777777" w:rsidR="00B164D7" w:rsidRPr="00B376C0" w:rsidRDefault="005B23D5" w:rsidP="00B164D7">
      <w:pPr>
        <w:numPr>
          <w:ilvl w:val="0"/>
          <w:numId w:val="9"/>
        </w:numPr>
        <w:ind w:left="317" w:hanging="284"/>
        <w:rPr>
          <w:rFonts w:asciiTheme="minorHAnsi" w:hAnsiTheme="minorHAnsi" w:cs="Arial"/>
        </w:rPr>
      </w:pPr>
      <w:r>
        <w:rPr>
          <w:rFonts w:asciiTheme="minorHAnsi" w:hAnsiTheme="minorHAnsi" w:cs="Arial"/>
        </w:rPr>
        <w:t>u</w:t>
      </w:r>
      <w:r w:rsidR="00F34073">
        <w:rPr>
          <w:rFonts w:asciiTheme="minorHAnsi" w:hAnsiTheme="minorHAnsi" w:cs="Arial"/>
        </w:rPr>
        <w:t>nderstand and develop</w:t>
      </w:r>
      <w:r w:rsidR="00B164D7" w:rsidRPr="00B376C0">
        <w:rPr>
          <w:rFonts w:asciiTheme="minorHAnsi" w:hAnsiTheme="minorHAnsi" w:cs="Arial"/>
        </w:rPr>
        <w:t xml:space="preserve"> their own </w:t>
      </w:r>
      <w:r w:rsidR="00F34073">
        <w:rPr>
          <w:rFonts w:asciiTheme="minorHAnsi" w:hAnsiTheme="minorHAnsi" w:cs="Arial"/>
        </w:rPr>
        <w:t>career pathways</w:t>
      </w:r>
      <w:r w:rsidR="00B164D7" w:rsidRPr="00B376C0">
        <w:rPr>
          <w:rFonts w:asciiTheme="minorHAnsi" w:hAnsiTheme="minorHAnsi" w:cs="Arial"/>
        </w:rPr>
        <w:t xml:space="preserve"> </w:t>
      </w:r>
      <w:r w:rsidR="00F34073">
        <w:rPr>
          <w:rFonts w:asciiTheme="minorHAnsi" w:hAnsiTheme="minorHAnsi" w:cs="Arial"/>
        </w:rPr>
        <w:t xml:space="preserve">by </w:t>
      </w:r>
      <w:r w:rsidR="00B164D7" w:rsidRPr="00B376C0">
        <w:rPr>
          <w:rFonts w:asciiTheme="minorHAnsi" w:hAnsiTheme="minorHAnsi" w:cs="Arial"/>
        </w:rPr>
        <w:t>about who they are, what’s important to them and what they would like to achieve in their lives</w:t>
      </w:r>
      <w:r>
        <w:rPr>
          <w:rFonts w:asciiTheme="minorHAnsi" w:hAnsiTheme="minorHAnsi" w:cs="Arial"/>
        </w:rPr>
        <w:t>;</w:t>
      </w:r>
    </w:p>
    <w:p w14:paraId="31952D50" w14:textId="77777777" w:rsidR="00B164D7" w:rsidRPr="00B376C0" w:rsidRDefault="00B164D7" w:rsidP="00B164D7">
      <w:pPr>
        <w:numPr>
          <w:ilvl w:val="0"/>
          <w:numId w:val="9"/>
        </w:numPr>
        <w:ind w:left="317" w:hanging="284"/>
        <w:rPr>
          <w:rFonts w:asciiTheme="minorHAnsi" w:hAnsiTheme="minorHAnsi" w:cs="Arial"/>
        </w:rPr>
      </w:pPr>
      <w:r w:rsidRPr="00B376C0">
        <w:rPr>
          <w:rFonts w:asciiTheme="minorHAnsi" w:hAnsiTheme="minorHAnsi" w:cs="Arial"/>
        </w:rPr>
        <w:t>understand ways of experiencing and achieving career happiness and well-being</w:t>
      </w:r>
      <w:r w:rsidR="005B23D5">
        <w:rPr>
          <w:rFonts w:asciiTheme="minorHAnsi" w:hAnsiTheme="minorHAnsi" w:cs="Arial"/>
        </w:rPr>
        <w:t>;</w:t>
      </w:r>
    </w:p>
    <w:p w14:paraId="42F82677" w14:textId="77777777" w:rsidR="00B164D7" w:rsidRPr="00B376C0" w:rsidRDefault="00B164D7" w:rsidP="00B164D7">
      <w:pPr>
        <w:numPr>
          <w:ilvl w:val="0"/>
          <w:numId w:val="9"/>
        </w:numPr>
        <w:ind w:left="317" w:hanging="284"/>
        <w:rPr>
          <w:rFonts w:asciiTheme="minorHAnsi" w:hAnsiTheme="minorHAnsi" w:cs="Arial"/>
        </w:rPr>
      </w:pPr>
      <w:r w:rsidRPr="00B376C0">
        <w:rPr>
          <w:rFonts w:asciiTheme="minorHAnsi" w:hAnsiTheme="minorHAnsi" w:cs="Arial"/>
        </w:rPr>
        <w:t>raise their aspirations, broaden their horizons and counter stereotyped thinking about what they and others can do in our society</w:t>
      </w:r>
      <w:r w:rsidR="005B23D5">
        <w:rPr>
          <w:rFonts w:asciiTheme="minorHAnsi" w:hAnsiTheme="minorHAnsi" w:cs="Arial"/>
        </w:rPr>
        <w:t>;</w:t>
      </w:r>
    </w:p>
    <w:p w14:paraId="44E869E3" w14:textId="77777777" w:rsidR="00B164D7" w:rsidRPr="00B376C0" w:rsidRDefault="00B164D7" w:rsidP="00B164D7">
      <w:pPr>
        <w:numPr>
          <w:ilvl w:val="0"/>
          <w:numId w:val="9"/>
        </w:numPr>
        <w:ind w:left="317" w:hanging="284"/>
        <w:rPr>
          <w:rFonts w:asciiTheme="minorHAnsi" w:hAnsiTheme="minorHAnsi" w:cs="Arial"/>
        </w:rPr>
      </w:pPr>
      <w:r w:rsidRPr="00B376C0">
        <w:rPr>
          <w:rFonts w:asciiTheme="minorHAnsi" w:hAnsiTheme="minorHAnsi" w:cs="Arial"/>
        </w:rPr>
        <w:t>extend their knowledge of changing opportunities, requirements and pathways in learning and work</w:t>
      </w:r>
      <w:r w:rsidR="005B23D5">
        <w:rPr>
          <w:rFonts w:asciiTheme="minorHAnsi" w:hAnsiTheme="minorHAnsi" w:cs="Arial"/>
        </w:rPr>
        <w:t>;</w:t>
      </w:r>
    </w:p>
    <w:p w14:paraId="23330E52" w14:textId="77777777" w:rsidR="00B164D7" w:rsidRPr="00B376C0" w:rsidRDefault="00B164D7" w:rsidP="00B164D7">
      <w:pPr>
        <w:numPr>
          <w:ilvl w:val="0"/>
          <w:numId w:val="9"/>
        </w:numPr>
        <w:ind w:left="317" w:hanging="284"/>
        <w:rPr>
          <w:rFonts w:asciiTheme="minorHAnsi" w:hAnsiTheme="minorHAnsi" w:cs="Arial"/>
        </w:rPr>
      </w:pPr>
      <w:r w:rsidRPr="00B376C0">
        <w:rPr>
          <w:rFonts w:asciiTheme="minorHAnsi" w:hAnsiTheme="minorHAnsi" w:cs="Arial"/>
        </w:rPr>
        <w:t>make the best use of information, advice and guidance (IAG) and their networks of support</w:t>
      </w:r>
      <w:r w:rsidR="005B23D5">
        <w:rPr>
          <w:rFonts w:asciiTheme="minorHAnsi" w:hAnsiTheme="minorHAnsi" w:cs="Arial"/>
        </w:rPr>
        <w:t>;</w:t>
      </w:r>
    </w:p>
    <w:p w14:paraId="78B925FE" w14:textId="77777777" w:rsidR="00B164D7" w:rsidRPr="00B376C0" w:rsidRDefault="00B164D7" w:rsidP="00B164D7">
      <w:pPr>
        <w:numPr>
          <w:ilvl w:val="0"/>
          <w:numId w:val="9"/>
        </w:numPr>
        <w:ind w:left="317" w:hanging="284"/>
        <w:rPr>
          <w:rFonts w:asciiTheme="minorHAnsi" w:hAnsiTheme="minorHAnsi" w:cs="Arial"/>
        </w:rPr>
      </w:pPr>
      <w:r w:rsidRPr="00B376C0">
        <w:rPr>
          <w:rFonts w:asciiTheme="minorHAnsi" w:hAnsiTheme="minorHAnsi" w:cs="Arial"/>
        </w:rPr>
        <w:lastRenderedPageBreak/>
        <w:t>develop essential career skills including resilience, adaptability, enterprise, employability and self-presentation</w:t>
      </w:r>
      <w:r w:rsidR="005B23D5">
        <w:rPr>
          <w:rFonts w:asciiTheme="minorHAnsi" w:hAnsiTheme="minorHAnsi" w:cs="Arial"/>
        </w:rPr>
        <w:t>;</w:t>
      </w:r>
    </w:p>
    <w:p w14:paraId="71F3890A" w14:textId="77777777" w:rsidR="006A396D" w:rsidRPr="005242CB" w:rsidRDefault="00B164D7" w:rsidP="005B23D5">
      <w:pPr>
        <w:numPr>
          <w:ilvl w:val="0"/>
          <w:numId w:val="9"/>
        </w:numPr>
        <w:ind w:left="317" w:hanging="284"/>
        <w:rPr>
          <w:rFonts w:asciiTheme="minorHAnsi" w:hAnsiTheme="minorHAnsi" w:cs="Arial"/>
        </w:rPr>
      </w:pPr>
      <w:r w:rsidRPr="00B376C0">
        <w:rPr>
          <w:rFonts w:asciiTheme="minorHAnsi" w:hAnsiTheme="minorHAnsi" w:cs="Arial"/>
        </w:rPr>
        <w:t>take increasing responsibility for managing their own career choices, plans and transitions.</w:t>
      </w:r>
    </w:p>
    <w:p w14:paraId="26DD49EF" w14:textId="77777777" w:rsidR="00C03F75" w:rsidRDefault="00C03F75" w:rsidP="005B23D5">
      <w:pPr>
        <w:rPr>
          <w:rFonts w:asciiTheme="minorHAnsi" w:hAnsiTheme="minorHAnsi" w:cs="Arial"/>
        </w:rPr>
      </w:pPr>
    </w:p>
    <w:p w14:paraId="126A0EB3" w14:textId="77777777" w:rsidR="005B23D5" w:rsidRPr="00151EBC" w:rsidRDefault="005B23D5" w:rsidP="00151EBC">
      <w:r w:rsidRPr="007B1351">
        <w:rPr>
          <w:rFonts w:asciiTheme="minorHAnsi" w:hAnsiTheme="minorHAnsi" w:cs="Arial"/>
        </w:rPr>
        <w:t>In addition to this, the Careers Department</w:t>
      </w:r>
      <w:r w:rsidR="00C25F2D" w:rsidRPr="007B1351">
        <w:rPr>
          <w:rFonts w:asciiTheme="minorHAnsi" w:hAnsiTheme="minorHAnsi" w:cs="Arial"/>
        </w:rPr>
        <w:t xml:space="preserve"> continually strives to:</w:t>
      </w:r>
      <w:r w:rsidRPr="007B1351">
        <w:rPr>
          <w:rFonts w:asciiTheme="minorHAnsi" w:hAnsiTheme="minorHAnsi" w:cs="Arial"/>
        </w:rPr>
        <w:t xml:space="preserve"> </w:t>
      </w:r>
    </w:p>
    <w:p w14:paraId="3D7120B4" w14:textId="77777777" w:rsidR="007F054F" w:rsidRPr="00151EBC" w:rsidRDefault="007F054F" w:rsidP="00151EBC"/>
    <w:p w14:paraId="755F6405" w14:textId="77777777" w:rsidR="00151EBC" w:rsidRDefault="00151EBC" w:rsidP="00151EBC">
      <w:pPr>
        <w:ind w:left="317"/>
        <w:rPr>
          <w:rFonts w:asciiTheme="minorHAnsi" w:hAnsiTheme="minorHAnsi" w:cs="Arial"/>
        </w:rPr>
      </w:pPr>
    </w:p>
    <w:p w14:paraId="1D9D2619" w14:textId="64044D19" w:rsidR="00151EBC" w:rsidRDefault="00151EBC" w:rsidP="005B23D5">
      <w:pPr>
        <w:numPr>
          <w:ilvl w:val="0"/>
          <w:numId w:val="9"/>
        </w:numPr>
        <w:ind w:left="317" w:hanging="284"/>
        <w:rPr>
          <w:rFonts w:asciiTheme="minorHAnsi" w:hAnsiTheme="minorHAnsi" w:cstheme="minorHAnsi"/>
        </w:rPr>
      </w:pPr>
      <w:r w:rsidRPr="00151EBC">
        <w:rPr>
          <w:rFonts w:asciiTheme="minorHAnsi" w:hAnsiTheme="minorHAnsi" w:cstheme="minorHAnsi"/>
        </w:rPr>
        <w:t xml:space="preserve">Underpin </w:t>
      </w:r>
      <w:r w:rsidRPr="00151EBC">
        <w:rPr>
          <w:rFonts w:asciiTheme="minorHAnsi" w:hAnsiTheme="minorHAnsi" w:cstheme="minorHAnsi"/>
        </w:rPr>
        <w:t xml:space="preserve">careers education across all eight Gatsby Benchmarks, with an understanding that all targets will be met by 2024/5. An online self-evaluation tool (‘Compass’) has already been used and the </w:t>
      </w:r>
      <w:proofErr w:type="gramStart"/>
      <w:r w:rsidRPr="00151EBC">
        <w:rPr>
          <w:rFonts w:asciiTheme="minorHAnsi" w:hAnsiTheme="minorHAnsi" w:cstheme="minorHAnsi"/>
        </w:rPr>
        <w:t>School</w:t>
      </w:r>
      <w:proofErr w:type="gramEnd"/>
      <w:r w:rsidRPr="00151EBC">
        <w:rPr>
          <w:rFonts w:asciiTheme="minorHAnsi" w:hAnsiTheme="minorHAnsi" w:cstheme="minorHAnsi"/>
        </w:rPr>
        <w:t xml:space="preserve"> is making good progress towards meeting all benchmarks. The Department is currently targeting progress towards meeting these goals, using the Compass Tracker </w:t>
      </w:r>
      <w:proofErr w:type="gramStart"/>
      <w:r w:rsidRPr="00151EBC">
        <w:rPr>
          <w:rFonts w:asciiTheme="minorHAnsi" w:hAnsiTheme="minorHAnsi" w:cstheme="minorHAnsi"/>
        </w:rPr>
        <w:t>Tool</w:t>
      </w:r>
      <w:proofErr w:type="gramEnd"/>
      <w:r w:rsidRPr="00151EBC">
        <w:rPr>
          <w:rFonts w:asciiTheme="minorHAnsi" w:hAnsiTheme="minorHAnsi" w:cstheme="minorHAnsi"/>
        </w:rPr>
        <w:t xml:space="preserve"> and providing further support/implementation via staff training, support and investment in additional resources over time</w:t>
      </w:r>
      <w:r>
        <w:rPr>
          <w:rFonts w:asciiTheme="minorHAnsi" w:hAnsiTheme="minorHAnsi" w:cstheme="minorHAnsi"/>
        </w:rPr>
        <w:t>.</w:t>
      </w:r>
    </w:p>
    <w:p w14:paraId="12732932" w14:textId="77777777" w:rsidR="00151EBC" w:rsidRPr="00151EBC" w:rsidRDefault="00151EBC" w:rsidP="00151EBC">
      <w:pPr>
        <w:ind w:left="317"/>
        <w:rPr>
          <w:rFonts w:asciiTheme="minorHAnsi" w:hAnsiTheme="minorHAnsi" w:cstheme="minorHAnsi"/>
        </w:rPr>
      </w:pPr>
    </w:p>
    <w:p w14:paraId="0CD5E06E" w14:textId="77777777" w:rsidR="00151EBC" w:rsidRDefault="00151EBC" w:rsidP="00151EBC">
      <w:pPr>
        <w:numPr>
          <w:ilvl w:val="0"/>
          <w:numId w:val="9"/>
        </w:numPr>
        <w:ind w:left="317" w:hanging="284"/>
        <w:rPr>
          <w:rFonts w:asciiTheme="minorHAnsi" w:hAnsiTheme="minorHAnsi" w:cs="Arial"/>
        </w:rPr>
      </w:pPr>
      <w:r>
        <w:rPr>
          <w:rFonts w:asciiTheme="minorHAnsi" w:hAnsiTheme="minorHAnsi" w:cs="Arial"/>
        </w:rPr>
        <w:t xml:space="preserve">make links with employers and to develop long-term local enterprise partnerships with various businesses </w:t>
      </w:r>
      <w:proofErr w:type="gramStart"/>
      <w:r>
        <w:rPr>
          <w:rFonts w:asciiTheme="minorHAnsi" w:hAnsiTheme="minorHAnsi" w:cs="Arial"/>
        </w:rPr>
        <w:t>in order to</w:t>
      </w:r>
      <w:proofErr w:type="gramEnd"/>
      <w:r>
        <w:rPr>
          <w:rFonts w:asciiTheme="minorHAnsi" w:hAnsiTheme="minorHAnsi" w:cs="Arial"/>
        </w:rPr>
        <w:t xml:space="preserve"> give pupils the opportunity to hear directly from professionals and to be inspired by role models. This goal is in line with the </w:t>
      </w:r>
      <w:r w:rsidRPr="00C25F2D">
        <w:rPr>
          <w:rFonts w:asciiTheme="minorHAnsi" w:hAnsiTheme="minorHAnsi" w:cs="Arial"/>
          <w:i/>
        </w:rPr>
        <w:t>Inspiration Vision Statement</w:t>
      </w:r>
      <w:r>
        <w:rPr>
          <w:rFonts w:asciiTheme="minorHAnsi" w:hAnsiTheme="minorHAnsi" w:cs="Arial"/>
        </w:rPr>
        <w:t xml:space="preserve"> (published by the Minister of State for Skills and Enterprise)</w:t>
      </w:r>
      <w:r>
        <w:rPr>
          <w:rStyle w:val="EndnoteReference"/>
          <w:rFonts w:asciiTheme="minorHAnsi" w:hAnsiTheme="minorHAnsi" w:cs="Arial"/>
        </w:rPr>
        <w:endnoteReference w:id="3"/>
      </w:r>
      <w:r>
        <w:rPr>
          <w:rFonts w:asciiTheme="minorHAnsi" w:hAnsiTheme="minorHAnsi" w:cs="Arial"/>
        </w:rPr>
        <w:t xml:space="preserve"> to help give our students more “… real-life contact with the world of work so that when they come to make big decisions, they understand where different choices could take them in the future” (</w:t>
      </w:r>
      <w:proofErr w:type="spellStart"/>
      <w:r>
        <w:rPr>
          <w:rFonts w:asciiTheme="minorHAnsi" w:hAnsiTheme="minorHAnsi" w:cs="Arial"/>
        </w:rPr>
        <w:t>pg</w:t>
      </w:r>
      <w:proofErr w:type="spellEnd"/>
      <w:r>
        <w:rPr>
          <w:rFonts w:asciiTheme="minorHAnsi" w:hAnsiTheme="minorHAnsi" w:cs="Arial"/>
        </w:rPr>
        <w:t xml:space="preserve"> 1).</w:t>
      </w:r>
    </w:p>
    <w:p w14:paraId="0473EE8F" w14:textId="77777777" w:rsidR="00C25F2D" w:rsidRDefault="00C25F2D" w:rsidP="00C25F2D">
      <w:pPr>
        <w:rPr>
          <w:rFonts w:asciiTheme="minorHAnsi" w:hAnsiTheme="minorHAnsi" w:cs="Arial"/>
        </w:rPr>
      </w:pPr>
    </w:p>
    <w:p w14:paraId="6E938BE2" w14:textId="5DA53BE1" w:rsidR="003C2FCB" w:rsidRPr="003C2FCB" w:rsidRDefault="008229A5" w:rsidP="003C2FCB">
      <w:pPr>
        <w:numPr>
          <w:ilvl w:val="0"/>
          <w:numId w:val="9"/>
        </w:numPr>
        <w:ind w:left="317" w:hanging="284"/>
        <w:rPr>
          <w:rFonts w:asciiTheme="minorHAnsi" w:hAnsiTheme="minorHAnsi" w:cs="Arial"/>
        </w:rPr>
      </w:pPr>
      <w:r w:rsidRPr="00AF19A1">
        <w:rPr>
          <w:rFonts w:asciiTheme="minorHAnsi" w:hAnsiTheme="minorHAnsi" w:cs="Arial"/>
        </w:rPr>
        <w:t>provide advice and guidance to students that is up-to-date and (wherever possible) in line with the rapidly evolving changes in both tec</w:t>
      </w:r>
      <w:r w:rsidR="003C2FCB">
        <w:rPr>
          <w:rFonts w:asciiTheme="minorHAnsi" w:hAnsiTheme="minorHAnsi" w:cs="Arial"/>
        </w:rPr>
        <w:t>hnology and the labour market. Following the advice from the Gatsby Foundation, t</w:t>
      </w:r>
      <w:r w:rsidRPr="00AF19A1">
        <w:rPr>
          <w:rFonts w:asciiTheme="minorHAnsi" w:hAnsiTheme="minorHAnsi" w:cs="Arial"/>
        </w:rPr>
        <w:t xml:space="preserve">he Careers Department </w:t>
      </w:r>
      <w:r w:rsidR="003C2FCB">
        <w:rPr>
          <w:rFonts w:asciiTheme="minorHAnsi" w:hAnsiTheme="minorHAnsi" w:cs="Arial"/>
        </w:rPr>
        <w:t xml:space="preserve">aims to </w:t>
      </w:r>
      <w:r w:rsidRPr="00AF19A1">
        <w:rPr>
          <w:rFonts w:asciiTheme="minorHAnsi" w:hAnsiTheme="minorHAnsi" w:cs="Arial"/>
        </w:rPr>
        <w:t>provi</w:t>
      </w:r>
      <w:r w:rsidR="003C2FCB">
        <w:rPr>
          <w:rFonts w:asciiTheme="minorHAnsi" w:hAnsiTheme="minorHAnsi" w:cs="Arial"/>
        </w:rPr>
        <w:t>de</w:t>
      </w:r>
      <w:r w:rsidRPr="00AF19A1">
        <w:rPr>
          <w:rFonts w:asciiTheme="minorHAnsi" w:hAnsiTheme="minorHAnsi" w:cs="Arial"/>
        </w:rPr>
        <w:t xml:space="preserve"> </w:t>
      </w:r>
      <w:r w:rsidR="003C2FCB">
        <w:rPr>
          <w:rFonts w:asciiTheme="minorHAnsi" w:hAnsiTheme="minorHAnsi" w:cs="Arial"/>
        </w:rPr>
        <w:t xml:space="preserve">careers support and guidance, </w:t>
      </w:r>
      <w:r w:rsidR="00A53B9C">
        <w:rPr>
          <w:rFonts w:asciiTheme="minorHAnsi" w:hAnsiTheme="minorHAnsi" w:cs="Arial"/>
        </w:rPr>
        <w:t>labelled ‘good’ by international standards</w:t>
      </w:r>
      <w:r w:rsidR="00D14E60">
        <w:rPr>
          <w:rFonts w:asciiTheme="minorHAnsi" w:hAnsiTheme="minorHAnsi" w:cs="Arial"/>
        </w:rPr>
        <w:t xml:space="preserve">. </w:t>
      </w:r>
      <w:r w:rsidR="00D14E60" w:rsidRPr="00D14E60">
        <w:rPr>
          <w:rStyle w:val="EndnoteReference"/>
          <w:rFonts w:asciiTheme="minorHAnsi" w:hAnsiTheme="minorHAnsi" w:cs="Arial"/>
          <w:shd w:val="clear" w:color="auto" w:fill="FFFFFF" w:themeFill="background1"/>
        </w:rPr>
        <w:endnoteReference w:id="4"/>
      </w:r>
    </w:p>
    <w:p w14:paraId="2D6A5630" w14:textId="77777777" w:rsidR="00C25F2D" w:rsidRDefault="00C25F2D" w:rsidP="00F34073">
      <w:pPr>
        <w:rPr>
          <w:rFonts w:asciiTheme="minorHAnsi" w:hAnsiTheme="minorHAnsi" w:cs="Arial"/>
        </w:rPr>
      </w:pPr>
    </w:p>
    <w:p w14:paraId="6379374B" w14:textId="77777777" w:rsidR="00C25F2D" w:rsidRPr="00C25F2D" w:rsidRDefault="00C25F2D" w:rsidP="00C25F2D">
      <w:pPr>
        <w:autoSpaceDE w:val="0"/>
        <w:autoSpaceDN w:val="0"/>
        <w:adjustRightInd w:val="0"/>
        <w:jc w:val="both"/>
        <w:rPr>
          <w:rFonts w:asciiTheme="minorHAnsi" w:hAnsiTheme="minorHAnsi" w:cs="Arial"/>
        </w:rPr>
      </w:pPr>
      <w:r w:rsidRPr="00C25F2D">
        <w:rPr>
          <w:rFonts w:asciiTheme="minorHAnsi" w:hAnsiTheme="minorHAnsi"/>
        </w:rPr>
        <w:t xml:space="preserve">Overall, </w:t>
      </w:r>
      <w:r w:rsidR="00AF19A1">
        <w:rPr>
          <w:rFonts w:asciiTheme="minorHAnsi" w:hAnsiTheme="minorHAnsi"/>
        </w:rPr>
        <w:t>Bloxham School’s</w:t>
      </w:r>
      <w:r w:rsidRPr="00C25F2D">
        <w:rPr>
          <w:rFonts w:asciiTheme="minorHAnsi" w:hAnsiTheme="minorHAnsi"/>
        </w:rPr>
        <w:t xml:space="preserve"> </w:t>
      </w:r>
      <w:r w:rsidR="00AF19A1">
        <w:rPr>
          <w:rFonts w:asciiTheme="minorHAnsi" w:hAnsiTheme="minorHAnsi"/>
        </w:rPr>
        <w:t>Careers Education, Information and Guidance P</w:t>
      </w:r>
      <w:r w:rsidR="00685306">
        <w:rPr>
          <w:rFonts w:asciiTheme="minorHAnsi" w:hAnsiTheme="minorHAnsi"/>
        </w:rPr>
        <w:t xml:space="preserve">olicy complements the school’s </w:t>
      </w:r>
      <w:r w:rsidRPr="00C25F2D">
        <w:rPr>
          <w:rFonts w:asciiTheme="minorHAnsi" w:hAnsiTheme="minorHAnsi"/>
        </w:rPr>
        <w:t>aims and other relevant policies and guidelines</w:t>
      </w:r>
      <w:r w:rsidR="00685306">
        <w:rPr>
          <w:rFonts w:asciiTheme="minorHAnsi" w:hAnsiTheme="minorHAnsi"/>
        </w:rPr>
        <w:t>,</w:t>
      </w:r>
      <w:r w:rsidRPr="00C25F2D">
        <w:rPr>
          <w:rFonts w:asciiTheme="minorHAnsi" w:hAnsiTheme="minorHAnsi"/>
        </w:rPr>
        <w:t xml:space="preserve"> especially those for teaching and learning, PSHE and pastoral care</w:t>
      </w:r>
      <w:r w:rsidR="00685306">
        <w:rPr>
          <w:rFonts w:asciiTheme="minorHAnsi" w:hAnsiTheme="minorHAnsi"/>
        </w:rPr>
        <w:t xml:space="preserve">, </w:t>
      </w:r>
      <w:r w:rsidRPr="00C25F2D">
        <w:rPr>
          <w:rFonts w:asciiTheme="minorHAnsi" w:hAnsiTheme="minorHAnsi"/>
        </w:rPr>
        <w:t>special educational needs (SEN) and equality, diversity and inclusion (EDI).</w:t>
      </w:r>
    </w:p>
    <w:p w14:paraId="3C4B1981" w14:textId="77777777" w:rsidR="002B5892" w:rsidRPr="00C25F2D" w:rsidRDefault="002B5892" w:rsidP="00F34073">
      <w:pPr>
        <w:pStyle w:val="Default"/>
        <w:rPr>
          <w:rFonts w:asciiTheme="minorHAnsi" w:hAnsiTheme="minorHAnsi"/>
        </w:rPr>
      </w:pPr>
    </w:p>
    <w:p w14:paraId="281E3ADD" w14:textId="77777777" w:rsidR="00F34073" w:rsidRPr="00C25F2D" w:rsidRDefault="00F34073" w:rsidP="00B164D7">
      <w:pPr>
        <w:autoSpaceDE w:val="0"/>
        <w:autoSpaceDN w:val="0"/>
        <w:adjustRightInd w:val="0"/>
        <w:jc w:val="both"/>
        <w:rPr>
          <w:rFonts w:asciiTheme="minorHAnsi" w:hAnsiTheme="minorHAnsi"/>
        </w:rPr>
      </w:pPr>
    </w:p>
    <w:p w14:paraId="2AC4F153" w14:textId="77777777" w:rsidR="00B164D7" w:rsidRPr="00C25F2D" w:rsidRDefault="00C25F2D" w:rsidP="00B164D7">
      <w:pPr>
        <w:pStyle w:val="Default"/>
        <w:rPr>
          <w:rFonts w:asciiTheme="minorHAnsi" w:hAnsiTheme="minorHAnsi"/>
          <w:b/>
        </w:rPr>
      </w:pPr>
      <w:r w:rsidRPr="00C25F2D">
        <w:rPr>
          <w:rFonts w:asciiTheme="minorHAnsi" w:hAnsiTheme="minorHAnsi"/>
          <w:b/>
        </w:rPr>
        <w:t>Commitment</w:t>
      </w:r>
    </w:p>
    <w:p w14:paraId="606ACA1A" w14:textId="77777777" w:rsidR="00C25F2D" w:rsidRDefault="008637A3" w:rsidP="00C25F2D">
      <w:pPr>
        <w:pStyle w:val="StyleErasMediumITC10pt1"/>
        <w:rPr>
          <w:rFonts w:asciiTheme="minorHAnsi" w:hAnsiTheme="minorHAnsi" w:cs="Arial"/>
          <w:sz w:val="24"/>
          <w:szCs w:val="24"/>
        </w:rPr>
      </w:pPr>
      <w:r>
        <w:rPr>
          <w:rFonts w:asciiTheme="minorHAnsi" w:hAnsiTheme="minorHAnsi" w:cs="Arial"/>
          <w:sz w:val="24"/>
          <w:szCs w:val="24"/>
        </w:rPr>
        <w:t xml:space="preserve">Bloxham School’s Board of Governors, the Headmaster </w:t>
      </w:r>
      <w:r w:rsidR="00C25F2D" w:rsidRPr="00C25F2D">
        <w:rPr>
          <w:rFonts w:asciiTheme="minorHAnsi" w:hAnsiTheme="minorHAnsi" w:cs="Arial"/>
          <w:sz w:val="24"/>
          <w:szCs w:val="24"/>
        </w:rPr>
        <w:t xml:space="preserve">and </w:t>
      </w:r>
      <w:r>
        <w:rPr>
          <w:rFonts w:asciiTheme="minorHAnsi" w:hAnsiTheme="minorHAnsi" w:cs="Arial"/>
          <w:sz w:val="24"/>
          <w:szCs w:val="24"/>
        </w:rPr>
        <w:t>the Senior L</w:t>
      </w:r>
      <w:r w:rsidR="00C25F2D" w:rsidRPr="00C25F2D">
        <w:rPr>
          <w:rFonts w:asciiTheme="minorHAnsi" w:hAnsiTheme="minorHAnsi" w:cs="Arial"/>
          <w:sz w:val="24"/>
          <w:szCs w:val="24"/>
        </w:rPr>
        <w:t>ead</w:t>
      </w:r>
      <w:r>
        <w:rPr>
          <w:rFonts w:asciiTheme="minorHAnsi" w:hAnsiTheme="minorHAnsi" w:cs="Arial"/>
          <w:sz w:val="24"/>
          <w:szCs w:val="24"/>
        </w:rPr>
        <w:t>ership T</w:t>
      </w:r>
      <w:r w:rsidR="00C25F2D" w:rsidRPr="00C25F2D">
        <w:rPr>
          <w:rFonts w:asciiTheme="minorHAnsi" w:hAnsiTheme="minorHAnsi" w:cs="Arial"/>
          <w:sz w:val="24"/>
          <w:szCs w:val="24"/>
        </w:rPr>
        <w:t xml:space="preserve">eam are committed to meeting our statutory careers-related responsibilities and the </w:t>
      </w:r>
      <w:r w:rsidR="002B5892">
        <w:rPr>
          <w:rFonts w:asciiTheme="minorHAnsi" w:hAnsiTheme="minorHAnsi" w:cs="Arial"/>
          <w:sz w:val="24"/>
          <w:szCs w:val="24"/>
        </w:rPr>
        <w:t>Gatsby Benchmarks</w:t>
      </w:r>
      <w:r w:rsidR="00C25F2D" w:rsidRPr="00C25F2D">
        <w:rPr>
          <w:rFonts w:asciiTheme="minorHAnsi" w:hAnsiTheme="minorHAnsi" w:cs="Arial"/>
          <w:sz w:val="24"/>
          <w:szCs w:val="24"/>
        </w:rPr>
        <w:t>. We will uphold:</w:t>
      </w:r>
    </w:p>
    <w:p w14:paraId="7BD83630" w14:textId="77777777" w:rsidR="008637A3" w:rsidRPr="00C25F2D" w:rsidRDefault="008637A3" w:rsidP="00C25F2D">
      <w:pPr>
        <w:pStyle w:val="StyleErasMediumITC10pt1"/>
        <w:rPr>
          <w:rFonts w:asciiTheme="minorHAnsi" w:hAnsiTheme="minorHAnsi" w:cs="Arial"/>
          <w:sz w:val="24"/>
          <w:szCs w:val="24"/>
        </w:rPr>
      </w:pPr>
    </w:p>
    <w:p w14:paraId="30A3BB1C" w14:textId="77777777" w:rsidR="00C25F2D" w:rsidRPr="002B5892" w:rsidRDefault="00C25F2D" w:rsidP="00C25F2D">
      <w:pPr>
        <w:pStyle w:val="bulleteras"/>
        <w:rPr>
          <w:rFonts w:asciiTheme="minorHAnsi" w:hAnsiTheme="minorHAnsi" w:cstheme="minorHAnsi"/>
          <w:sz w:val="24"/>
        </w:rPr>
      </w:pPr>
      <w:r w:rsidRPr="002B5892">
        <w:rPr>
          <w:rFonts w:asciiTheme="minorHAnsi" w:hAnsiTheme="minorHAnsi" w:cstheme="minorHAnsi"/>
          <w:sz w:val="24"/>
        </w:rPr>
        <w:t xml:space="preserve">the duty to secure independent and impartial careers guidance for </w:t>
      </w:r>
      <w:r w:rsidR="008637A3" w:rsidRPr="002B5892">
        <w:rPr>
          <w:rFonts w:asciiTheme="minorHAnsi" w:hAnsiTheme="minorHAnsi" w:cstheme="minorHAnsi"/>
          <w:sz w:val="24"/>
        </w:rPr>
        <w:t>all Bloxham School students;</w:t>
      </w:r>
    </w:p>
    <w:p w14:paraId="144DFBC3" w14:textId="77777777" w:rsidR="008637A3" w:rsidRPr="002B5892" w:rsidRDefault="00C25F2D" w:rsidP="00D14E60">
      <w:pPr>
        <w:pStyle w:val="bulleteras"/>
        <w:shd w:val="clear" w:color="auto" w:fill="FFFFFF" w:themeFill="background1"/>
        <w:rPr>
          <w:rFonts w:asciiTheme="minorHAnsi" w:hAnsiTheme="minorHAnsi" w:cstheme="minorHAnsi"/>
          <w:sz w:val="24"/>
        </w:rPr>
      </w:pPr>
      <w:r w:rsidRPr="002B5892">
        <w:rPr>
          <w:rFonts w:asciiTheme="minorHAnsi" w:hAnsiTheme="minorHAnsi" w:cstheme="minorHAnsi"/>
          <w:sz w:val="24"/>
        </w:rPr>
        <w:t>the duty to help students with special educational needs achieve better life outcomes, especially in</w:t>
      </w:r>
      <w:r w:rsidR="008637A3" w:rsidRPr="002B5892">
        <w:rPr>
          <w:rFonts w:asciiTheme="minorHAnsi" w:hAnsiTheme="minorHAnsi" w:cstheme="minorHAnsi"/>
          <w:sz w:val="24"/>
        </w:rPr>
        <w:t xml:space="preserve"> the area of work opportunities;</w:t>
      </w:r>
    </w:p>
    <w:p w14:paraId="0EC03279" w14:textId="77777777" w:rsidR="00C25F2D" w:rsidRPr="00D14E60" w:rsidRDefault="00C25F2D" w:rsidP="00D14E60">
      <w:pPr>
        <w:pStyle w:val="bulleteras"/>
        <w:shd w:val="clear" w:color="auto" w:fill="FFFFFF" w:themeFill="background1"/>
        <w:rPr>
          <w:rFonts w:asciiTheme="minorHAnsi" w:hAnsiTheme="minorHAnsi" w:cstheme="minorHAnsi"/>
          <w:sz w:val="24"/>
        </w:rPr>
      </w:pPr>
      <w:r w:rsidRPr="00D14E60">
        <w:rPr>
          <w:rFonts w:asciiTheme="minorHAnsi" w:hAnsiTheme="minorHAnsi" w:cstheme="minorHAnsi"/>
          <w:sz w:val="24"/>
        </w:rPr>
        <w:t>the entitlement of young people to a planned programme of activities that meets their needs</w:t>
      </w:r>
      <w:r w:rsidR="008637A3" w:rsidRPr="00D14E60">
        <w:rPr>
          <w:rFonts w:asciiTheme="minorHAnsi" w:hAnsiTheme="minorHAnsi" w:cstheme="minorHAnsi"/>
          <w:sz w:val="24"/>
        </w:rPr>
        <w:t>;</w:t>
      </w:r>
    </w:p>
    <w:p w14:paraId="7E5CFC22" w14:textId="77777777" w:rsidR="00677F6C" w:rsidRPr="00D14E60" w:rsidRDefault="00C25F2D" w:rsidP="00677F6C">
      <w:pPr>
        <w:pStyle w:val="bulleteras"/>
        <w:rPr>
          <w:rFonts w:asciiTheme="minorHAnsi" w:hAnsiTheme="minorHAnsi" w:cstheme="minorHAnsi"/>
          <w:sz w:val="24"/>
        </w:rPr>
      </w:pPr>
      <w:r w:rsidRPr="002B5892">
        <w:rPr>
          <w:rFonts w:asciiTheme="minorHAnsi" w:hAnsiTheme="minorHAnsi" w:cstheme="minorHAnsi"/>
          <w:sz w:val="24"/>
        </w:rPr>
        <w:t xml:space="preserve">the principle of engaging </w:t>
      </w:r>
      <w:r w:rsidR="008637A3" w:rsidRPr="002B5892">
        <w:rPr>
          <w:rFonts w:asciiTheme="minorHAnsi" w:hAnsiTheme="minorHAnsi" w:cstheme="minorHAnsi"/>
          <w:sz w:val="24"/>
        </w:rPr>
        <w:t>students, employers/businesses</w:t>
      </w:r>
      <w:r w:rsidRPr="002B5892">
        <w:rPr>
          <w:rFonts w:asciiTheme="minorHAnsi" w:hAnsiTheme="minorHAnsi" w:cstheme="minorHAnsi"/>
          <w:sz w:val="24"/>
        </w:rPr>
        <w:t xml:space="preserve">, parents/carers, providers of independent </w:t>
      </w:r>
      <w:r w:rsidR="008637A3" w:rsidRPr="002B5892">
        <w:rPr>
          <w:rFonts w:asciiTheme="minorHAnsi" w:hAnsiTheme="minorHAnsi" w:cstheme="minorHAnsi"/>
          <w:sz w:val="24"/>
        </w:rPr>
        <w:t xml:space="preserve">and impartial careers guidance, </w:t>
      </w:r>
      <w:r w:rsidRPr="002B5892">
        <w:rPr>
          <w:rFonts w:asciiTheme="minorHAnsi" w:hAnsiTheme="minorHAnsi" w:cstheme="minorHAnsi"/>
          <w:sz w:val="24"/>
        </w:rPr>
        <w:t xml:space="preserve">and other education providers in achieving </w:t>
      </w:r>
      <w:r w:rsidRPr="00D14E60">
        <w:rPr>
          <w:rFonts w:asciiTheme="minorHAnsi" w:hAnsiTheme="minorHAnsi" w:cstheme="minorHAnsi"/>
          <w:sz w:val="24"/>
        </w:rPr>
        <w:t>worthwhile learning outcomes, progression opportunities and destinat</w:t>
      </w:r>
      <w:r w:rsidR="002B5892" w:rsidRPr="00D14E60">
        <w:rPr>
          <w:rFonts w:asciiTheme="minorHAnsi" w:hAnsiTheme="minorHAnsi" w:cstheme="minorHAnsi"/>
          <w:sz w:val="24"/>
        </w:rPr>
        <w:t>ions for students;</w:t>
      </w:r>
    </w:p>
    <w:p w14:paraId="50419CB0" w14:textId="4BAEE582" w:rsidR="002B5892" w:rsidRPr="00D14E60" w:rsidRDefault="00677F6C" w:rsidP="00677F6C">
      <w:pPr>
        <w:pStyle w:val="bulleteras"/>
        <w:rPr>
          <w:rFonts w:asciiTheme="minorHAnsi" w:hAnsiTheme="minorHAnsi" w:cstheme="minorHAnsi"/>
          <w:sz w:val="24"/>
        </w:rPr>
      </w:pPr>
      <w:r w:rsidRPr="00D14E60">
        <w:rPr>
          <w:rFonts w:asciiTheme="minorHAnsi" w:hAnsiTheme="minorHAnsi" w:cstheme="minorHAnsi"/>
          <w:sz w:val="24"/>
        </w:rPr>
        <w:t xml:space="preserve">the </w:t>
      </w:r>
      <w:r w:rsidRPr="00D14E60">
        <w:rPr>
          <w:rFonts w:asciiTheme="minorHAnsi" w:hAnsiTheme="minorHAnsi" w:cstheme="minorHAnsi"/>
          <w:color w:val="000000"/>
          <w:sz w:val="24"/>
        </w:rPr>
        <w:t>commitment to</w:t>
      </w:r>
      <w:r w:rsidR="002B5892" w:rsidRPr="00D14E60">
        <w:rPr>
          <w:rFonts w:asciiTheme="minorHAnsi" w:hAnsiTheme="minorHAnsi" w:cstheme="minorHAnsi"/>
          <w:color w:val="000000"/>
          <w:sz w:val="24"/>
        </w:rPr>
        <w:t xml:space="preserve"> meeting all eight Gatsby Benchmarks by </w:t>
      </w:r>
      <w:proofErr w:type="gramStart"/>
      <w:r w:rsidR="002B5892" w:rsidRPr="00D14E60">
        <w:rPr>
          <w:rFonts w:asciiTheme="minorHAnsi" w:hAnsiTheme="minorHAnsi" w:cstheme="minorHAnsi"/>
          <w:color w:val="000000"/>
          <w:sz w:val="24"/>
        </w:rPr>
        <w:t>202</w:t>
      </w:r>
      <w:r w:rsidR="00D14E60" w:rsidRPr="00D14E60">
        <w:rPr>
          <w:rFonts w:asciiTheme="minorHAnsi" w:hAnsiTheme="minorHAnsi" w:cstheme="minorHAnsi"/>
          <w:color w:val="000000"/>
          <w:sz w:val="24"/>
        </w:rPr>
        <w:t>4/5</w:t>
      </w:r>
      <w:r w:rsidR="002B5892" w:rsidRPr="00D14E60">
        <w:rPr>
          <w:rFonts w:asciiTheme="minorHAnsi" w:hAnsiTheme="minorHAnsi" w:cstheme="minorHAnsi"/>
          <w:color w:val="000000"/>
          <w:sz w:val="24"/>
        </w:rPr>
        <w:t>;</w:t>
      </w:r>
      <w:proofErr w:type="gramEnd"/>
    </w:p>
    <w:p w14:paraId="0024DAFE" w14:textId="77777777" w:rsidR="002B5892" w:rsidRDefault="002B5892" w:rsidP="00C90781">
      <w:pPr>
        <w:pStyle w:val="bulleteras"/>
        <w:rPr>
          <w:rFonts w:asciiTheme="minorHAnsi" w:hAnsiTheme="minorHAnsi" w:cstheme="minorHAnsi"/>
          <w:sz w:val="24"/>
        </w:rPr>
      </w:pPr>
      <w:r w:rsidRPr="002B5892">
        <w:rPr>
          <w:rFonts w:asciiTheme="minorHAnsi" w:hAnsiTheme="minorHAnsi" w:cstheme="minorHAnsi"/>
          <w:color w:val="000000"/>
          <w:sz w:val="24"/>
        </w:rPr>
        <w:t>the need to ensure that all pupils are made aware of the wide range of post-16/18 opportunities</w:t>
      </w:r>
      <w:r w:rsidR="00C90781">
        <w:rPr>
          <w:rFonts w:asciiTheme="minorHAnsi" w:hAnsiTheme="minorHAnsi" w:cstheme="minorHAnsi"/>
          <w:color w:val="000000"/>
          <w:sz w:val="24"/>
        </w:rPr>
        <w:t>/destinations</w:t>
      </w:r>
      <w:r w:rsidRPr="002B5892">
        <w:rPr>
          <w:rFonts w:asciiTheme="minorHAnsi" w:hAnsiTheme="minorHAnsi" w:cstheme="minorHAnsi"/>
          <w:color w:val="000000"/>
          <w:sz w:val="24"/>
        </w:rPr>
        <w:t xml:space="preserve"> available to them, including apprenticeships, </w:t>
      </w:r>
      <w:r w:rsidR="00C90781">
        <w:rPr>
          <w:rFonts w:asciiTheme="minorHAnsi" w:hAnsiTheme="minorHAnsi" w:cstheme="minorHAnsi"/>
          <w:color w:val="000000"/>
          <w:sz w:val="24"/>
        </w:rPr>
        <w:t xml:space="preserve">technical routes, further education colleges, universities or employment. </w:t>
      </w:r>
    </w:p>
    <w:p w14:paraId="20F1E797" w14:textId="77777777" w:rsidR="00C90781" w:rsidRPr="00C90781" w:rsidRDefault="00C90781" w:rsidP="00C90781">
      <w:pPr>
        <w:pStyle w:val="bulleteras"/>
        <w:numPr>
          <w:ilvl w:val="0"/>
          <w:numId w:val="0"/>
        </w:numPr>
        <w:ind w:left="426"/>
        <w:rPr>
          <w:rFonts w:asciiTheme="minorHAnsi" w:hAnsiTheme="minorHAnsi" w:cstheme="minorHAnsi"/>
          <w:sz w:val="24"/>
        </w:rPr>
      </w:pPr>
    </w:p>
    <w:p w14:paraId="7B4E50DD" w14:textId="77777777" w:rsidR="002B5892" w:rsidRDefault="002B5892" w:rsidP="00C25F2D">
      <w:pPr>
        <w:pStyle w:val="bulleteras"/>
        <w:numPr>
          <w:ilvl w:val="0"/>
          <w:numId w:val="0"/>
        </w:numPr>
        <w:ind w:left="426" w:hanging="240"/>
        <w:rPr>
          <w:rFonts w:asciiTheme="minorHAnsi" w:hAnsiTheme="minorHAnsi"/>
          <w:sz w:val="24"/>
        </w:rPr>
      </w:pPr>
    </w:p>
    <w:p w14:paraId="068121AE" w14:textId="77777777" w:rsidR="002F7EB2" w:rsidRPr="004B36AA" w:rsidRDefault="002F7EB2" w:rsidP="002F7EB2">
      <w:pPr>
        <w:pStyle w:val="bulleteras"/>
        <w:numPr>
          <w:ilvl w:val="0"/>
          <w:numId w:val="0"/>
        </w:numPr>
        <w:rPr>
          <w:rFonts w:asciiTheme="minorHAnsi" w:hAnsiTheme="minorHAnsi"/>
          <w:b/>
          <w:sz w:val="24"/>
        </w:rPr>
      </w:pPr>
      <w:r w:rsidRPr="004B36AA">
        <w:rPr>
          <w:rFonts w:asciiTheme="minorHAnsi" w:hAnsiTheme="minorHAnsi"/>
          <w:b/>
          <w:sz w:val="24"/>
        </w:rPr>
        <w:t>Provision</w:t>
      </w:r>
    </w:p>
    <w:p w14:paraId="22F5B933" w14:textId="77777777" w:rsidR="002F7EB2" w:rsidRPr="004B36AA" w:rsidRDefault="00B1112C" w:rsidP="002F7EB2">
      <w:pPr>
        <w:autoSpaceDE w:val="0"/>
        <w:autoSpaceDN w:val="0"/>
        <w:adjustRightInd w:val="0"/>
        <w:jc w:val="both"/>
        <w:rPr>
          <w:rFonts w:asciiTheme="minorHAnsi" w:hAnsiTheme="minorHAnsi"/>
          <w:lang w:val="en-US"/>
        </w:rPr>
      </w:pPr>
      <w:r w:rsidRPr="004B36AA">
        <w:rPr>
          <w:rFonts w:asciiTheme="minorHAnsi" w:hAnsiTheme="minorHAnsi"/>
          <w:lang w:val="en-US"/>
        </w:rPr>
        <w:t xml:space="preserve">In order to </w:t>
      </w:r>
      <w:r w:rsidR="00C90781">
        <w:rPr>
          <w:rFonts w:asciiTheme="minorHAnsi" w:hAnsiTheme="minorHAnsi"/>
          <w:lang w:val="en-US"/>
        </w:rPr>
        <w:t xml:space="preserve">meet </w:t>
      </w:r>
      <w:r w:rsidR="004B36AA" w:rsidRPr="004B36AA">
        <w:rPr>
          <w:rFonts w:asciiTheme="minorHAnsi" w:hAnsiTheme="minorHAnsi"/>
          <w:lang w:val="en-US"/>
        </w:rPr>
        <w:t xml:space="preserve">the </w:t>
      </w:r>
      <w:r w:rsidRPr="004B36AA">
        <w:rPr>
          <w:rFonts w:asciiTheme="minorHAnsi" w:hAnsiTheme="minorHAnsi"/>
          <w:lang w:val="en-US"/>
        </w:rPr>
        <w:t>aims and objectives</w:t>
      </w:r>
      <w:r w:rsidR="004B36AA" w:rsidRPr="004B36AA">
        <w:rPr>
          <w:rFonts w:asciiTheme="minorHAnsi" w:hAnsiTheme="minorHAnsi"/>
          <w:lang w:val="en-US"/>
        </w:rPr>
        <w:t xml:space="preserve"> outlined above</w:t>
      </w:r>
      <w:r w:rsidRPr="004B36AA">
        <w:rPr>
          <w:rFonts w:asciiTheme="minorHAnsi" w:hAnsiTheme="minorHAnsi"/>
          <w:lang w:val="en-US"/>
        </w:rPr>
        <w:t>, t</w:t>
      </w:r>
      <w:r w:rsidR="002F7EB2" w:rsidRPr="004B36AA">
        <w:rPr>
          <w:rFonts w:asciiTheme="minorHAnsi" w:hAnsiTheme="minorHAnsi"/>
          <w:lang w:val="en-US"/>
        </w:rPr>
        <w:t xml:space="preserve">he </w:t>
      </w:r>
      <w:r w:rsidRPr="004B36AA">
        <w:rPr>
          <w:rFonts w:asciiTheme="minorHAnsi" w:hAnsiTheme="minorHAnsi"/>
          <w:lang w:val="en-US"/>
        </w:rPr>
        <w:t>Careers Department will implement and have regular contact with the following:</w:t>
      </w:r>
    </w:p>
    <w:p w14:paraId="47CE9AB7" w14:textId="77777777" w:rsidR="00C25F2D" w:rsidRPr="004B36AA" w:rsidRDefault="00C25F2D" w:rsidP="00C25F2D">
      <w:pPr>
        <w:pStyle w:val="bulleteras"/>
        <w:numPr>
          <w:ilvl w:val="0"/>
          <w:numId w:val="0"/>
        </w:numPr>
        <w:ind w:left="426" w:hanging="240"/>
        <w:rPr>
          <w:rFonts w:asciiTheme="minorHAnsi" w:hAnsiTheme="minorHAnsi"/>
          <w:sz w:val="24"/>
        </w:rPr>
      </w:pPr>
    </w:p>
    <w:tbl>
      <w:tblPr>
        <w:tblW w:w="92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CellMar>
          <w:top w:w="108" w:type="dxa"/>
        </w:tblCellMar>
        <w:tblLook w:val="00A0" w:firstRow="1" w:lastRow="0" w:firstColumn="1" w:lastColumn="0" w:noHBand="0" w:noVBand="0"/>
      </w:tblPr>
      <w:tblGrid>
        <w:gridCol w:w="9259"/>
      </w:tblGrid>
      <w:tr w:rsidR="00C25F2D" w:rsidRPr="004B36AA" w14:paraId="422FB1A7" w14:textId="77777777" w:rsidTr="002F7EB2">
        <w:trPr>
          <w:cantSplit/>
          <w:trHeight w:val="852"/>
          <w:jc w:val="center"/>
        </w:trPr>
        <w:tc>
          <w:tcPr>
            <w:tcW w:w="8880" w:type="dxa"/>
            <w:shd w:val="clear" w:color="auto" w:fill="FFFFFF" w:themeFill="background1"/>
          </w:tcPr>
          <w:p w14:paraId="5C12395E" w14:textId="0A6314DB" w:rsidR="00C25F2D" w:rsidRPr="004B36AA" w:rsidRDefault="00C25F2D" w:rsidP="00A077AF">
            <w:pPr>
              <w:pStyle w:val="bulleteras"/>
              <w:rPr>
                <w:rFonts w:asciiTheme="minorHAnsi" w:hAnsiTheme="minorHAnsi"/>
                <w:sz w:val="24"/>
              </w:rPr>
            </w:pPr>
            <w:r w:rsidRPr="004B36AA">
              <w:rPr>
                <w:rStyle w:val="Styleoverview2Char11pt"/>
                <w:rFonts w:asciiTheme="minorHAnsi" w:hAnsiTheme="minorHAnsi"/>
                <w:sz w:val="24"/>
              </w:rPr>
              <w:t>Management</w:t>
            </w:r>
            <w:r w:rsidRPr="004B36AA">
              <w:rPr>
                <w:rFonts w:asciiTheme="minorHAnsi" w:hAnsiTheme="minorHAnsi"/>
                <w:sz w:val="24"/>
              </w:rPr>
              <w:t xml:space="preserve"> </w:t>
            </w:r>
            <w:r w:rsidR="00A077AF">
              <w:rPr>
                <w:rFonts w:asciiTheme="minorHAnsi" w:hAnsiTheme="minorHAnsi"/>
                <w:sz w:val="24"/>
              </w:rPr>
              <w:t>–</w:t>
            </w:r>
            <w:r w:rsidRPr="004B36AA">
              <w:rPr>
                <w:rFonts w:asciiTheme="minorHAnsi" w:hAnsiTheme="minorHAnsi"/>
                <w:sz w:val="24"/>
              </w:rPr>
              <w:t xml:space="preserve"> </w:t>
            </w:r>
            <w:r w:rsidR="00A077AF">
              <w:rPr>
                <w:rFonts w:asciiTheme="minorHAnsi" w:hAnsiTheme="minorHAnsi"/>
                <w:sz w:val="24"/>
              </w:rPr>
              <w:t>the Head of Careers</w:t>
            </w:r>
            <w:r w:rsidRPr="004B36AA">
              <w:rPr>
                <w:rFonts w:asciiTheme="minorHAnsi" w:hAnsiTheme="minorHAnsi"/>
                <w:sz w:val="24"/>
              </w:rPr>
              <w:t xml:space="preserve"> manages</w:t>
            </w:r>
            <w:r w:rsidR="00B1112C" w:rsidRPr="004B36AA">
              <w:rPr>
                <w:rFonts w:asciiTheme="minorHAnsi" w:hAnsiTheme="minorHAnsi"/>
                <w:sz w:val="24"/>
              </w:rPr>
              <w:t xml:space="preserve"> the C</w:t>
            </w:r>
            <w:r w:rsidRPr="004B36AA">
              <w:rPr>
                <w:rFonts w:asciiTheme="minorHAnsi" w:hAnsiTheme="minorHAnsi"/>
                <w:sz w:val="24"/>
              </w:rPr>
              <w:t xml:space="preserve">areers </w:t>
            </w:r>
            <w:r w:rsidR="00B1112C" w:rsidRPr="004B36AA">
              <w:rPr>
                <w:rFonts w:asciiTheme="minorHAnsi" w:hAnsiTheme="minorHAnsi"/>
                <w:sz w:val="24"/>
              </w:rPr>
              <w:t>Department</w:t>
            </w:r>
            <w:r w:rsidRPr="004B36AA">
              <w:rPr>
                <w:rFonts w:asciiTheme="minorHAnsi" w:hAnsiTheme="minorHAnsi"/>
                <w:sz w:val="24"/>
              </w:rPr>
              <w:t xml:space="preserve"> and </w:t>
            </w:r>
            <w:proofErr w:type="gramStart"/>
            <w:r w:rsidR="00612B49">
              <w:rPr>
                <w:rFonts w:asciiTheme="minorHAnsi" w:hAnsiTheme="minorHAnsi"/>
                <w:sz w:val="24"/>
              </w:rPr>
              <w:t xml:space="preserve">has the </w:t>
            </w:r>
            <w:r w:rsidR="00A64A6F">
              <w:rPr>
                <w:rFonts w:asciiTheme="minorHAnsi" w:hAnsiTheme="minorHAnsi"/>
                <w:sz w:val="24"/>
              </w:rPr>
              <w:t>opportunity to</w:t>
            </w:r>
            <w:proofErr w:type="gramEnd"/>
            <w:r w:rsidR="00A64A6F">
              <w:rPr>
                <w:rFonts w:asciiTheme="minorHAnsi" w:hAnsiTheme="minorHAnsi"/>
                <w:sz w:val="24"/>
              </w:rPr>
              <w:t xml:space="preserve"> report to the governors on a termly basis via the curriculum report</w:t>
            </w:r>
            <w:r w:rsidR="005B3AB5">
              <w:rPr>
                <w:rFonts w:asciiTheme="minorHAnsi" w:hAnsiTheme="minorHAnsi"/>
                <w:sz w:val="24"/>
              </w:rPr>
              <w:t>.</w:t>
            </w:r>
            <w:r w:rsidRPr="004B36AA">
              <w:rPr>
                <w:rFonts w:asciiTheme="minorHAnsi" w:hAnsiTheme="minorHAnsi"/>
                <w:sz w:val="24"/>
              </w:rPr>
              <w:t xml:space="preserve"> The </w:t>
            </w:r>
            <w:r w:rsidR="00B1112C" w:rsidRPr="004B36AA">
              <w:rPr>
                <w:rFonts w:asciiTheme="minorHAnsi" w:hAnsiTheme="minorHAnsi"/>
                <w:sz w:val="24"/>
              </w:rPr>
              <w:t>C</w:t>
            </w:r>
            <w:r w:rsidRPr="004B36AA">
              <w:rPr>
                <w:rFonts w:asciiTheme="minorHAnsi" w:hAnsiTheme="minorHAnsi"/>
                <w:sz w:val="24"/>
              </w:rPr>
              <w:t xml:space="preserve">areers </w:t>
            </w:r>
            <w:r w:rsidR="00B1112C" w:rsidRPr="004B36AA">
              <w:rPr>
                <w:rFonts w:asciiTheme="minorHAnsi" w:hAnsiTheme="minorHAnsi"/>
                <w:sz w:val="24"/>
              </w:rPr>
              <w:t>Department is</w:t>
            </w:r>
            <w:r w:rsidRPr="004B36AA">
              <w:rPr>
                <w:rFonts w:asciiTheme="minorHAnsi" w:hAnsiTheme="minorHAnsi"/>
                <w:sz w:val="24"/>
              </w:rPr>
              <w:t xml:space="preserve"> responsible for producing, </w:t>
            </w:r>
            <w:proofErr w:type="gramStart"/>
            <w:r w:rsidRPr="004B36AA">
              <w:rPr>
                <w:rFonts w:asciiTheme="minorHAnsi" w:hAnsiTheme="minorHAnsi"/>
                <w:sz w:val="24"/>
              </w:rPr>
              <w:t>impleme</w:t>
            </w:r>
            <w:r w:rsidR="00B1112C" w:rsidRPr="004B36AA">
              <w:rPr>
                <w:rFonts w:asciiTheme="minorHAnsi" w:hAnsiTheme="minorHAnsi"/>
                <w:sz w:val="24"/>
              </w:rPr>
              <w:t>nting</w:t>
            </w:r>
            <w:proofErr w:type="gramEnd"/>
            <w:r w:rsidR="00B1112C" w:rsidRPr="004B36AA">
              <w:rPr>
                <w:rFonts w:asciiTheme="minorHAnsi" w:hAnsiTheme="minorHAnsi"/>
                <w:sz w:val="24"/>
              </w:rPr>
              <w:t xml:space="preserve"> and evaluating </w:t>
            </w:r>
            <w:r w:rsidR="00B1112C" w:rsidRPr="003929E4">
              <w:rPr>
                <w:rFonts w:asciiTheme="minorHAnsi" w:hAnsiTheme="minorHAnsi"/>
                <w:sz w:val="24"/>
              </w:rPr>
              <w:t>an annual Careers P</w:t>
            </w:r>
            <w:r w:rsidR="002D4DA7">
              <w:rPr>
                <w:rFonts w:asciiTheme="minorHAnsi" w:hAnsiTheme="minorHAnsi"/>
                <w:sz w:val="24"/>
              </w:rPr>
              <w:t>rogramme</w:t>
            </w:r>
            <w:r w:rsidR="00B1112C" w:rsidRPr="003929E4">
              <w:rPr>
                <w:rFonts w:asciiTheme="minorHAnsi" w:hAnsiTheme="minorHAnsi"/>
                <w:sz w:val="24"/>
              </w:rPr>
              <w:t>, which is informed by Bloxham School’s Development P</w:t>
            </w:r>
            <w:r w:rsidRPr="003929E4">
              <w:rPr>
                <w:rFonts w:asciiTheme="minorHAnsi" w:hAnsiTheme="minorHAnsi"/>
                <w:sz w:val="24"/>
              </w:rPr>
              <w:t xml:space="preserve">lan. </w:t>
            </w:r>
            <w:r w:rsidR="00A077AF" w:rsidRPr="003929E4">
              <w:rPr>
                <w:rFonts w:asciiTheme="minorHAnsi" w:hAnsiTheme="minorHAnsi"/>
                <w:sz w:val="24"/>
              </w:rPr>
              <w:t>The</w:t>
            </w:r>
            <w:r w:rsidR="00A077AF">
              <w:rPr>
                <w:rFonts w:asciiTheme="minorHAnsi" w:hAnsiTheme="minorHAnsi"/>
                <w:sz w:val="24"/>
              </w:rPr>
              <w:t xml:space="preserve"> Head of Careers</w:t>
            </w:r>
            <w:r w:rsidR="00B1112C" w:rsidRPr="004B36AA">
              <w:rPr>
                <w:rFonts w:asciiTheme="minorHAnsi" w:hAnsiTheme="minorHAnsi"/>
                <w:sz w:val="24"/>
              </w:rPr>
              <w:t xml:space="preserve"> also works alongside </w:t>
            </w:r>
            <w:r w:rsidR="00812EF2">
              <w:rPr>
                <w:rFonts w:asciiTheme="minorHAnsi" w:hAnsiTheme="minorHAnsi"/>
                <w:sz w:val="24"/>
              </w:rPr>
              <w:t>independent careers advisers</w:t>
            </w:r>
            <w:r w:rsidR="00B1112C" w:rsidRPr="004B36AA">
              <w:rPr>
                <w:rFonts w:asciiTheme="minorHAnsi" w:hAnsiTheme="minorHAnsi"/>
                <w:sz w:val="24"/>
              </w:rPr>
              <w:t xml:space="preserve"> (to ensure access to impartial and independent advice) </w:t>
            </w:r>
            <w:r w:rsidRPr="004B36AA">
              <w:rPr>
                <w:rFonts w:asciiTheme="minorHAnsi" w:hAnsiTheme="minorHAnsi"/>
                <w:sz w:val="24"/>
              </w:rPr>
              <w:t>and liaises with</w:t>
            </w:r>
            <w:r w:rsidR="00B1112C" w:rsidRPr="004B36AA">
              <w:rPr>
                <w:rFonts w:asciiTheme="minorHAnsi" w:hAnsiTheme="minorHAnsi"/>
                <w:sz w:val="24"/>
              </w:rPr>
              <w:t xml:space="preserve"> </w:t>
            </w:r>
            <w:r w:rsidR="00974CEB" w:rsidRPr="004B36AA">
              <w:rPr>
                <w:rFonts w:asciiTheme="minorHAnsi" w:hAnsiTheme="minorHAnsi"/>
                <w:sz w:val="24"/>
              </w:rPr>
              <w:t xml:space="preserve">the </w:t>
            </w:r>
            <w:r w:rsidR="00B1112C" w:rsidRPr="004B36AA">
              <w:rPr>
                <w:rFonts w:asciiTheme="minorHAnsi" w:hAnsiTheme="minorHAnsi"/>
                <w:sz w:val="24"/>
              </w:rPr>
              <w:t>PSHE</w:t>
            </w:r>
            <w:r w:rsidR="00974CEB" w:rsidRPr="004B36AA">
              <w:rPr>
                <w:rFonts w:asciiTheme="minorHAnsi" w:hAnsiTheme="minorHAnsi"/>
                <w:sz w:val="24"/>
              </w:rPr>
              <w:t xml:space="preserve"> programme co-ordin</w:t>
            </w:r>
            <w:r w:rsidR="00812EF2">
              <w:rPr>
                <w:rFonts w:asciiTheme="minorHAnsi" w:hAnsiTheme="minorHAnsi"/>
                <w:sz w:val="24"/>
              </w:rPr>
              <w:t>ator (</w:t>
            </w:r>
            <w:r w:rsidR="00BE2A31">
              <w:rPr>
                <w:rFonts w:asciiTheme="minorHAnsi" w:hAnsiTheme="minorHAnsi"/>
                <w:sz w:val="24"/>
              </w:rPr>
              <w:t xml:space="preserve">Greg </w:t>
            </w:r>
            <w:r w:rsidR="000B4D42">
              <w:rPr>
                <w:rFonts w:asciiTheme="minorHAnsi" w:hAnsiTheme="minorHAnsi"/>
                <w:sz w:val="24"/>
              </w:rPr>
              <w:t>Webber</w:t>
            </w:r>
            <w:r w:rsidR="00974CEB" w:rsidRPr="004B36AA">
              <w:rPr>
                <w:rFonts w:asciiTheme="minorHAnsi" w:hAnsiTheme="minorHAnsi"/>
                <w:sz w:val="24"/>
              </w:rPr>
              <w:t>)</w:t>
            </w:r>
            <w:r w:rsidRPr="004B36AA">
              <w:rPr>
                <w:rFonts w:asciiTheme="minorHAnsi" w:hAnsiTheme="minorHAnsi"/>
                <w:sz w:val="24"/>
              </w:rPr>
              <w:t>,</w:t>
            </w:r>
            <w:r w:rsidR="003929E4">
              <w:rPr>
                <w:rFonts w:asciiTheme="minorHAnsi" w:hAnsiTheme="minorHAnsi"/>
                <w:sz w:val="24"/>
              </w:rPr>
              <w:t xml:space="preserve"> Director of Teaching and Learning (Azita Kazem), Head of </w:t>
            </w:r>
            <w:proofErr w:type="gramStart"/>
            <w:r w:rsidR="003929E4">
              <w:rPr>
                <w:rFonts w:asciiTheme="minorHAnsi" w:hAnsiTheme="minorHAnsi"/>
                <w:sz w:val="24"/>
              </w:rPr>
              <w:t xml:space="preserve">Years, </w:t>
            </w:r>
            <w:r w:rsidRPr="004B36AA">
              <w:rPr>
                <w:rFonts w:asciiTheme="minorHAnsi" w:hAnsiTheme="minorHAnsi"/>
                <w:sz w:val="24"/>
              </w:rPr>
              <w:t xml:space="preserve"> </w:t>
            </w:r>
            <w:r w:rsidR="00B1112C" w:rsidRPr="004B36AA">
              <w:rPr>
                <w:rFonts w:asciiTheme="minorHAnsi" w:hAnsiTheme="minorHAnsi"/>
                <w:sz w:val="24"/>
              </w:rPr>
              <w:t>H</w:t>
            </w:r>
            <w:r w:rsidR="003929E4">
              <w:rPr>
                <w:rFonts w:asciiTheme="minorHAnsi" w:hAnsiTheme="minorHAnsi"/>
                <w:sz w:val="24"/>
              </w:rPr>
              <w:t>ead</w:t>
            </w:r>
            <w:proofErr w:type="gramEnd"/>
            <w:r w:rsidR="003929E4">
              <w:rPr>
                <w:rFonts w:asciiTheme="minorHAnsi" w:hAnsiTheme="minorHAnsi"/>
                <w:sz w:val="24"/>
              </w:rPr>
              <w:t xml:space="preserve"> of Departments</w:t>
            </w:r>
            <w:r w:rsidR="00B1112C" w:rsidRPr="004B36AA">
              <w:rPr>
                <w:rFonts w:asciiTheme="minorHAnsi" w:hAnsiTheme="minorHAnsi"/>
                <w:sz w:val="24"/>
              </w:rPr>
              <w:t>, Tutors, Housemast</w:t>
            </w:r>
            <w:r w:rsidR="00812EF2">
              <w:rPr>
                <w:rFonts w:asciiTheme="minorHAnsi" w:hAnsiTheme="minorHAnsi"/>
                <w:sz w:val="24"/>
              </w:rPr>
              <w:t>ers, the UCAS Team of Advisers</w:t>
            </w:r>
            <w:r w:rsidR="003929E4">
              <w:rPr>
                <w:rFonts w:asciiTheme="minorHAnsi" w:hAnsiTheme="minorHAnsi"/>
                <w:sz w:val="24"/>
              </w:rPr>
              <w:t xml:space="preserve">, </w:t>
            </w:r>
            <w:proofErr w:type="spellStart"/>
            <w:r w:rsidR="003929E4">
              <w:rPr>
                <w:rFonts w:asciiTheme="minorHAnsi" w:hAnsiTheme="minorHAnsi"/>
                <w:sz w:val="24"/>
              </w:rPr>
              <w:t>Senco</w:t>
            </w:r>
            <w:proofErr w:type="spellEnd"/>
            <w:r w:rsidR="003929E4">
              <w:rPr>
                <w:rFonts w:asciiTheme="minorHAnsi" w:hAnsiTheme="minorHAnsi"/>
                <w:sz w:val="24"/>
              </w:rPr>
              <w:t>, EAL,</w:t>
            </w:r>
            <w:r w:rsidR="00812EF2">
              <w:rPr>
                <w:rFonts w:asciiTheme="minorHAnsi" w:hAnsiTheme="minorHAnsi"/>
                <w:sz w:val="24"/>
              </w:rPr>
              <w:t xml:space="preserve"> and </w:t>
            </w:r>
            <w:r w:rsidR="00B1112C" w:rsidRPr="004B36AA">
              <w:rPr>
                <w:rFonts w:asciiTheme="minorHAnsi" w:hAnsiTheme="minorHAnsi"/>
                <w:sz w:val="24"/>
              </w:rPr>
              <w:t>external careers information providers (such as employers</w:t>
            </w:r>
            <w:r w:rsidR="00974CEB" w:rsidRPr="004B36AA">
              <w:rPr>
                <w:rFonts w:asciiTheme="minorHAnsi" w:hAnsiTheme="minorHAnsi"/>
                <w:sz w:val="24"/>
              </w:rPr>
              <w:t xml:space="preserve"> and apprenticeship providers</w:t>
            </w:r>
            <w:r w:rsidR="00B1112C" w:rsidRPr="004B36AA">
              <w:rPr>
                <w:rFonts w:asciiTheme="minorHAnsi" w:hAnsiTheme="minorHAnsi"/>
                <w:sz w:val="24"/>
              </w:rPr>
              <w:t>)</w:t>
            </w:r>
            <w:r w:rsidR="00812EF2">
              <w:rPr>
                <w:rFonts w:asciiTheme="minorHAnsi" w:hAnsiTheme="minorHAnsi"/>
                <w:sz w:val="24"/>
              </w:rPr>
              <w:t>.</w:t>
            </w:r>
          </w:p>
        </w:tc>
      </w:tr>
      <w:tr w:rsidR="00C25F2D" w:rsidRPr="004B36AA" w14:paraId="504AC80A" w14:textId="77777777" w:rsidTr="002F7EB2">
        <w:trPr>
          <w:cantSplit/>
          <w:trHeight w:val="1737"/>
          <w:jc w:val="center"/>
        </w:trPr>
        <w:tc>
          <w:tcPr>
            <w:tcW w:w="8880" w:type="dxa"/>
            <w:shd w:val="clear" w:color="auto" w:fill="FFFFFF" w:themeFill="background1"/>
          </w:tcPr>
          <w:p w14:paraId="3ABF19BA" w14:textId="3E1D1B6D" w:rsidR="00C25F2D" w:rsidRPr="004B36AA" w:rsidRDefault="00C25F2D" w:rsidP="00A077AF">
            <w:pPr>
              <w:pStyle w:val="bulleteras"/>
              <w:rPr>
                <w:rFonts w:asciiTheme="minorHAnsi" w:hAnsiTheme="minorHAnsi"/>
                <w:sz w:val="24"/>
              </w:rPr>
            </w:pPr>
            <w:r w:rsidRPr="004B36AA">
              <w:rPr>
                <w:rStyle w:val="Styleoverview2Char11pt"/>
                <w:rFonts w:asciiTheme="minorHAnsi" w:hAnsiTheme="minorHAnsi"/>
                <w:sz w:val="24"/>
              </w:rPr>
              <w:t>Resources and delivery</w:t>
            </w:r>
            <w:r w:rsidRPr="004B36AA">
              <w:rPr>
                <w:rFonts w:asciiTheme="minorHAnsi" w:hAnsiTheme="minorHAnsi"/>
                <w:sz w:val="24"/>
              </w:rPr>
              <w:t xml:space="preserve"> – The budget for </w:t>
            </w:r>
            <w:r w:rsidR="00812EF2">
              <w:rPr>
                <w:rFonts w:asciiTheme="minorHAnsi" w:hAnsiTheme="minorHAnsi"/>
                <w:sz w:val="24"/>
              </w:rPr>
              <w:t>meeting the Gatsby Benchmarks</w:t>
            </w:r>
            <w:r w:rsidRPr="004B36AA">
              <w:rPr>
                <w:rFonts w:asciiTheme="minorHAnsi" w:hAnsiTheme="minorHAnsi"/>
                <w:sz w:val="24"/>
              </w:rPr>
              <w:t xml:space="preserve"> (including staffing and staff costs, curriculum time and material resources) is settled annually and every endeavour is made to ensure that sufficient resources are allocated to meet students’ needs. The </w:t>
            </w:r>
            <w:r w:rsidR="004B36AA" w:rsidRPr="004B36AA">
              <w:rPr>
                <w:rFonts w:asciiTheme="minorHAnsi" w:hAnsiTheme="minorHAnsi"/>
                <w:sz w:val="24"/>
              </w:rPr>
              <w:t>Careers Hub</w:t>
            </w:r>
            <w:r w:rsidRPr="004B36AA">
              <w:rPr>
                <w:rFonts w:asciiTheme="minorHAnsi" w:hAnsiTheme="minorHAnsi"/>
                <w:sz w:val="24"/>
              </w:rPr>
              <w:t xml:space="preserve"> has relevant, up-to-date information in a range of media including </w:t>
            </w:r>
            <w:r w:rsidR="004B36AA" w:rsidRPr="004B36AA">
              <w:rPr>
                <w:rFonts w:asciiTheme="minorHAnsi" w:hAnsiTheme="minorHAnsi"/>
                <w:sz w:val="24"/>
              </w:rPr>
              <w:t xml:space="preserve">supervised </w:t>
            </w:r>
            <w:r w:rsidRPr="004B36AA">
              <w:rPr>
                <w:rFonts w:asciiTheme="minorHAnsi" w:hAnsiTheme="minorHAnsi"/>
                <w:sz w:val="24"/>
              </w:rPr>
              <w:t xml:space="preserve">access to </w:t>
            </w:r>
            <w:r w:rsidR="004B36AA" w:rsidRPr="004B36AA">
              <w:rPr>
                <w:rFonts w:asciiTheme="minorHAnsi" w:hAnsiTheme="minorHAnsi"/>
                <w:sz w:val="24"/>
              </w:rPr>
              <w:t>online</w:t>
            </w:r>
            <w:r w:rsidRPr="004B36AA">
              <w:rPr>
                <w:rFonts w:asciiTheme="minorHAnsi" w:hAnsiTheme="minorHAnsi"/>
                <w:sz w:val="24"/>
              </w:rPr>
              <w:t xml:space="preserve"> careers resources</w:t>
            </w:r>
            <w:r w:rsidR="00812EF2">
              <w:rPr>
                <w:rFonts w:asciiTheme="minorHAnsi" w:hAnsiTheme="minorHAnsi"/>
                <w:sz w:val="24"/>
              </w:rPr>
              <w:t xml:space="preserve"> (such as Unifrog and Morrisby)</w:t>
            </w:r>
            <w:r w:rsidRPr="004B36AA">
              <w:rPr>
                <w:rFonts w:asciiTheme="minorHAnsi" w:hAnsiTheme="minorHAnsi"/>
                <w:sz w:val="24"/>
              </w:rPr>
              <w:t xml:space="preserve">. </w:t>
            </w:r>
            <w:r w:rsidR="00A077AF">
              <w:rPr>
                <w:rFonts w:asciiTheme="minorHAnsi" w:hAnsiTheme="minorHAnsi"/>
                <w:sz w:val="24"/>
              </w:rPr>
              <w:t>The Head of Careers</w:t>
            </w:r>
            <w:r w:rsidR="004B36AA" w:rsidRPr="004B36AA">
              <w:rPr>
                <w:rFonts w:asciiTheme="minorHAnsi" w:hAnsiTheme="minorHAnsi"/>
                <w:sz w:val="24"/>
              </w:rPr>
              <w:t xml:space="preserve"> </w:t>
            </w:r>
            <w:r w:rsidRPr="004B36AA">
              <w:rPr>
                <w:rFonts w:asciiTheme="minorHAnsi" w:hAnsiTheme="minorHAnsi"/>
                <w:sz w:val="24"/>
              </w:rPr>
              <w:t>select</w:t>
            </w:r>
            <w:r w:rsidR="004B36AA" w:rsidRPr="004B36AA">
              <w:rPr>
                <w:rFonts w:asciiTheme="minorHAnsi" w:hAnsiTheme="minorHAnsi"/>
                <w:sz w:val="24"/>
              </w:rPr>
              <w:t>s</w:t>
            </w:r>
            <w:r w:rsidRPr="004B36AA">
              <w:rPr>
                <w:rFonts w:asciiTheme="minorHAnsi" w:hAnsiTheme="minorHAnsi"/>
                <w:sz w:val="24"/>
              </w:rPr>
              <w:t xml:space="preserve"> and maintain teaching resources needed for the </w:t>
            </w:r>
            <w:r w:rsidR="00812EF2">
              <w:rPr>
                <w:rFonts w:asciiTheme="minorHAnsi" w:hAnsiTheme="minorHAnsi"/>
                <w:sz w:val="24"/>
              </w:rPr>
              <w:t>Careers</w:t>
            </w:r>
            <w:r w:rsidRPr="004B36AA">
              <w:rPr>
                <w:rFonts w:asciiTheme="minorHAnsi" w:hAnsiTheme="minorHAnsi"/>
                <w:sz w:val="24"/>
              </w:rPr>
              <w:t xml:space="preserve"> programme and actively seek</w:t>
            </w:r>
            <w:r w:rsidR="00812EF2">
              <w:rPr>
                <w:rFonts w:asciiTheme="minorHAnsi" w:hAnsiTheme="minorHAnsi"/>
                <w:sz w:val="24"/>
              </w:rPr>
              <w:t>s</w:t>
            </w:r>
            <w:r w:rsidRPr="004B36AA">
              <w:rPr>
                <w:rFonts w:asciiTheme="minorHAnsi" w:hAnsiTheme="minorHAnsi"/>
                <w:sz w:val="24"/>
              </w:rPr>
              <w:t xml:space="preserve"> the involvement of the wider community (other education and training providers, local employers, etc.) in providing opportunities for students.</w:t>
            </w:r>
            <w:r w:rsidR="00812EF2">
              <w:rPr>
                <w:rFonts w:asciiTheme="minorHAnsi" w:hAnsiTheme="minorHAnsi"/>
                <w:sz w:val="24"/>
              </w:rPr>
              <w:t xml:space="preserve"> </w:t>
            </w:r>
            <w:r w:rsidR="00812EF2" w:rsidRPr="006977BF">
              <w:rPr>
                <w:rFonts w:asciiTheme="minorHAnsi" w:hAnsiTheme="minorHAnsi"/>
                <w:sz w:val="24"/>
              </w:rPr>
              <w:t>The Careers Programme is also published on the School’s website and updated/revised annually.</w:t>
            </w:r>
            <w:r w:rsidR="00812EF2">
              <w:rPr>
                <w:rFonts w:asciiTheme="minorHAnsi" w:hAnsiTheme="minorHAnsi"/>
                <w:sz w:val="24"/>
              </w:rPr>
              <w:t xml:space="preserve"> </w:t>
            </w:r>
          </w:p>
        </w:tc>
      </w:tr>
      <w:tr w:rsidR="00C25F2D" w:rsidRPr="004B36AA" w14:paraId="0AE9F99D" w14:textId="77777777" w:rsidTr="004B36AA">
        <w:trPr>
          <w:cantSplit/>
          <w:trHeight w:val="947"/>
          <w:jc w:val="center"/>
        </w:trPr>
        <w:tc>
          <w:tcPr>
            <w:tcW w:w="8880" w:type="dxa"/>
            <w:shd w:val="clear" w:color="auto" w:fill="FFFFFF" w:themeFill="background1"/>
          </w:tcPr>
          <w:p w14:paraId="5FE90ECF" w14:textId="77777777" w:rsidR="00C25F2D" w:rsidRPr="004B36AA" w:rsidRDefault="00C25F2D" w:rsidP="004B36AA">
            <w:pPr>
              <w:pStyle w:val="bulleteras"/>
              <w:rPr>
                <w:rFonts w:asciiTheme="minorHAnsi" w:hAnsiTheme="minorHAnsi"/>
                <w:sz w:val="24"/>
              </w:rPr>
            </w:pPr>
            <w:r w:rsidRPr="004B36AA">
              <w:rPr>
                <w:rStyle w:val="Styleoverview2Char11pt"/>
                <w:rFonts w:asciiTheme="minorHAnsi" w:hAnsiTheme="minorHAnsi"/>
                <w:sz w:val="24"/>
              </w:rPr>
              <w:t>Guidance</w:t>
            </w:r>
            <w:r w:rsidRPr="004B36AA">
              <w:rPr>
                <w:rStyle w:val="overview2Char"/>
                <w:rFonts w:asciiTheme="minorHAnsi" w:hAnsiTheme="minorHAnsi"/>
              </w:rPr>
              <w:t xml:space="preserve"> </w:t>
            </w:r>
            <w:r w:rsidRPr="004B36AA">
              <w:rPr>
                <w:rFonts w:asciiTheme="minorHAnsi" w:hAnsiTheme="minorHAnsi"/>
                <w:sz w:val="24"/>
              </w:rPr>
              <w:t xml:space="preserve">– Careers guidance is provided in partnership with </w:t>
            </w:r>
            <w:r w:rsidR="00812EF2">
              <w:rPr>
                <w:rFonts w:asciiTheme="minorHAnsi" w:hAnsiTheme="minorHAnsi"/>
                <w:sz w:val="24"/>
              </w:rPr>
              <w:t xml:space="preserve">external careers advisors </w:t>
            </w:r>
            <w:r w:rsidRPr="004B36AA">
              <w:rPr>
                <w:rFonts w:asciiTheme="minorHAnsi" w:hAnsiTheme="minorHAnsi"/>
                <w:sz w:val="24"/>
              </w:rPr>
              <w:t>and includes individual and group activities. All guidance must be impartial, confidential (within policy guidelines), responsive to students’ needs and based on the principles of equality and diversity.</w:t>
            </w:r>
          </w:p>
        </w:tc>
      </w:tr>
      <w:tr w:rsidR="00C25F2D" w:rsidRPr="004B36AA" w14:paraId="6CAB8F0E" w14:textId="77777777" w:rsidTr="002F7EB2">
        <w:trPr>
          <w:cantSplit/>
          <w:trHeight w:val="582"/>
          <w:jc w:val="center"/>
        </w:trPr>
        <w:tc>
          <w:tcPr>
            <w:tcW w:w="8880" w:type="dxa"/>
            <w:shd w:val="clear" w:color="auto" w:fill="FFFFFF" w:themeFill="background1"/>
          </w:tcPr>
          <w:p w14:paraId="4D19AA6A" w14:textId="77777777" w:rsidR="00C25F2D" w:rsidRPr="004B36AA" w:rsidRDefault="00C25F2D" w:rsidP="00A077AF">
            <w:pPr>
              <w:pStyle w:val="bulleteras"/>
              <w:rPr>
                <w:rFonts w:asciiTheme="minorHAnsi" w:hAnsiTheme="minorHAnsi"/>
                <w:sz w:val="24"/>
              </w:rPr>
            </w:pPr>
            <w:r w:rsidRPr="006977BF">
              <w:rPr>
                <w:rStyle w:val="Styleoverview2Char11pt"/>
                <w:rFonts w:asciiTheme="minorHAnsi" w:hAnsiTheme="minorHAnsi"/>
                <w:sz w:val="24"/>
              </w:rPr>
              <w:t>Training</w:t>
            </w:r>
            <w:r w:rsidRPr="006977BF">
              <w:rPr>
                <w:rFonts w:asciiTheme="minorHAnsi" w:hAnsiTheme="minorHAnsi"/>
                <w:sz w:val="24"/>
              </w:rPr>
              <w:t xml:space="preserve"> –</w:t>
            </w:r>
            <w:r w:rsidRPr="004B36AA">
              <w:rPr>
                <w:rFonts w:asciiTheme="minorHAnsi" w:hAnsiTheme="minorHAnsi"/>
                <w:sz w:val="24"/>
              </w:rPr>
              <w:t xml:space="preserve"> </w:t>
            </w:r>
            <w:r w:rsidR="00A077AF">
              <w:rPr>
                <w:rFonts w:asciiTheme="minorHAnsi" w:hAnsiTheme="minorHAnsi"/>
                <w:sz w:val="24"/>
              </w:rPr>
              <w:t>Head of Careers</w:t>
            </w:r>
            <w:r w:rsidR="004B36AA" w:rsidRPr="004B36AA">
              <w:rPr>
                <w:rFonts w:asciiTheme="minorHAnsi" w:hAnsiTheme="minorHAnsi"/>
                <w:sz w:val="24"/>
              </w:rPr>
              <w:t xml:space="preserve"> professional</w:t>
            </w:r>
            <w:r w:rsidRPr="004B36AA">
              <w:rPr>
                <w:rFonts w:asciiTheme="minorHAnsi" w:hAnsiTheme="minorHAnsi"/>
                <w:sz w:val="24"/>
              </w:rPr>
              <w:t xml:space="preserve"> learning and development needs are identified through an annual </w:t>
            </w:r>
            <w:r w:rsidR="004B36AA" w:rsidRPr="004B36AA">
              <w:rPr>
                <w:rFonts w:asciiTheme="minorHAnsi" w:hAnsiTheme="minorHAnsi"/>
                <w:sz w:val="24"/>
              </w:rPr>
              <w:t>TDR</w:t>
            </w:r>
            <w:r w:rsidRPr="004B36AA">
              <w:rPr>
                <w:rFonts w:asciiTheme="minorHAnsi" w:hAnsiTheme="minorHAnsi"/>
                <w:sz w:val="24"/>
              </w:rPr>
              <w:t xml:space="preserve"> and appropriate arrangements </w:t>
            </w:r>
            <w:r w:rsidR="004B36AA" w:rsidRPr="004B36AA">
              <w:rPr>
                <w:rFonts w:asciiTheme="minorHAnsi" w:hAnsiTheme="minorHAnsi"/>
                <w:sz w:val="24"/>
              </w:rPr>
              <w:t>are made</w:t>
            </w:r>
            <w:r w:rsidRPr="004B36AA">
              <w:rPr>
                <w:rFonts w:asciiTheme="minorHAnsi" w:hAnsiTheme="minorHAnsi"/>
                <w:sz w:val="24"/>
              </w:rPr>
              <w:t xml:space="preserve"> to meet needs within a reasonable timeframe.</w:t>
            </w:r>
          </w:p>
        </w:tc>
      </w:tr>
      <w:tr w:rsidR="00C25F2D" w:rsidRPr="004B36AA" w14:paraId="557FB372" w14:textId="77777777" w:rsidTr="002F7EB2">
        <w:trPr>
          <w:cantSplit/>
          <w:trHeight w:val="1084"/>
          <w:jc w:val="center"/>
        </w:trPr>
        <w:tc>
          <w:tcPr>
            <w:tcW w:w="8880" w:type="dxa"/>
            <w:tcBorders>
              <w:bottom w:val="nil"/>
            </w:tcBorders>
            <w:shd w:val="clear" w:color="auto" w:fill="FFFFFF" w:themeFill="background1"/>
          </w:tcPr>
          <w:p w14:paraId="0C9BF12B" w14:textId="002AA488" w:rsidR="00812EF2" w:rsidRPr="00812EF2" w:rsidRDefault="00C25F2D" w:rsidP="00812EF2">
            <w:pPr>
              <w:pStyle w:val="bulleteras"/>
              <w:rPr>
                <w:rFonts w:asciiTheme="minorHAnsi" w:hAnsiTheme="minorHAnsi"/>
                <w:sz w:val="24"/>
              </w:rPr>
            </w:pPr>
            <w:r w:rsidRPr="004B36AA">
              <w:rPr>
                <w:rStyle w:val="Styleoverview2Char11pt"/>
                <w:rFonts w:asciiTheme="minorHAnsi" w:hAnsiTheme="minorHAnsi"/>
                <w:sz w:val="24"/>
              </w:rPr>
              <w:t>Monitoring, review &amp; evaluation</w:t>
            </w:r>
            <w:r w:rsidRPr="004B36AA">
              <w:rPr>
                <w:rFonts w:asciiTheme="minorHAnsi" w:hAnsiTheme="minorHAnsi"/>
                <w:sz w:val="24"/>
              </w:rPr>
              <w:t xml:space="preserve"> - </w:t>
            </w:r>
            <w:r w:rsidRPr="008C4A21">
              <w:rPr>
                <w:rFonts w:asciiTheme="minorHAnsi" w:hAnsiTheme="minorHAnsi"/>
                <w:sz w:val="24"/>
              </w:rPr>
              <w:t xml:space="preserve">Key programme activities are monitored, </w:t>
            </w:r>
            <w:proofErr w:type="gramStart"/>
            <w:r w:rsidRPr="008C4A21">
              <w:rPr>
                <w:rFonts w:asciiTheme="minorHAnsi" w:hAnsiTheme="minorHAnsi"/>
                <w:sz w:val="24"/>
              </w:rPr>
              <w:t>reviewed</w:t>
            </w:r>
            <w:proofErr w:type="gramEnd"/>
            <w:r w:rsidRPr="008C4A21">
              <w:rPr>
                <w:rFonts w:asciiTheme="minorHAnsi" w:hAnsiTheme="minorHAnsi"/>
                <w:sz w:val="24"/>
              </w:rPr>
              <w:t xml:space="preserve"> and evaluated on a regular basis with the ac</w:t>
            </w:r>
            <w:r w:rsidRPr="002D4DA7">
              <w:rPr>
                <w:rFonts w:asciiTheme="minorHAnsi" w:hAnsiTheme="minorHAnsi"/>
                <w:sz w:val="24"/>
              </w:rPr>
              <w:t xml:space="preserve">tive involvement of students. The findings are presented in the report on the annual </w:t>
            </w:r>
            <w:r w:rsidR="004B36AA" w:rsidRPr="002D4DA7">
              <w:rPr>
                <w:rFonts w:asciiTheme="minorHAnsi" w:hAnsiTheme="minorHAnsi"/>
                <w:sz w:val="24"/>
              </w:rPr>
              <w:t>Careers P</w:t>
            </w:r>
            <w:r w:rsidR="002D4DA7" w:rsidRPr="002D4DA7">
              <w:rPr>
                <w:rFonts w:asciiTheme="minorHAnsi" w:hAnsiTheme="minorHAnsi"/>
                <w:sz w:val="24"/>
              </w:rPr>
              <w:t>rogramme</w:t>
            </w:r>
            <w:r w:rsidRPr="002D4DA7">
              <w:rPr>
                <w:rFonts w:asciiTheme="minorHAnsi" w:hAnsiTheme="minorHAnsi"/>
                <w:sz w:val="24"/>
              </w:rPr>
              <w:t xml:space="preserve"> and recommendations fed into next year’s plan.</w:t>
            </w:r>
          </w:p>
        </w:tc>
      </w:tr>
    </w:tbl>
    <w:p w14:paraId="1F13F86E" w14:textId="77777777" w:rsidR="00C25F2D" w:rsidRPr="004B36AA" w:rsidRDefault="00C25F2D" w:rsidP="004B36AA">
      <w:pPr>
        <w:pStyle w:val="bulleteras"/>
        <w:numPr>
          <w:ilvl w:val="0"/>
          <w:numId w:val="0"/>
        </w:numPr>
        <w:rPr>
          <w:rFonts w:asciiTheme="minorHAnsi" w:hAnsiTheme="minorHAnsi"/>
          <w:sz w:val="24"/>
        </w:rPr>
      </w:pPr>
    </w:p>
    <w:p w14:paraId="5C2E4989" w14:textId="77777777" w:rsidR="008D6967" w:rsidRPr="004B36AA" w:rsidRDefault="008D6967" w:rsidP="000B2146">
      <w:pPr>
        <w:autoSpaceDE w:val="0"/>
        <w:autoSpaceDN w:val="0"/>
        <w:adjustRightInd w:val="0"/>
        <w:jc w:val="both"/>
        <w:rPr>
          <w:rFonts w:asciiTheme="minorHAnsi" w:hAnsiTheme="minorHAnsi"/>
          <w:lang w:val="en-US"/>
        </w:rPr>
      </w:pPr>
    </w:p>
    <w:p w14:paraId="76C7E1BC" w14:textId="77777777" w:rsidR="008D6967" w:rsidRPr="004B36AA" w:rsidRDefault="008D6967" w:rsidP="000B2146">
      <w:pPr>
        <w:autoSpaceDE w:val="0"/>
        <w:autoSpaceDN w:val="0"/>
        <w:adjustRightInd w:val="0"/>
        <w:jc w:val="both"/>
        <w:rPr>
          <w:rFonts w:asciiTheme="minorHAnsi" w:hAnsiTheme="minorHAnsi"/>
          <w:lang w:val="en-US"/>
        </w:rPr>
      </w:pPr>
    </w:p>
    <w:p w14:paraId="6D2BE8BF" w14:textId="77777777" w:rsidR="00A368A9" w:rsidRPr="004B36AA" w:rsidRDefault="00A368A9" w:rsidP="000B2146">
      <w:pPr>
        <w:autoSpaceDE w:val="0"/>
        <w:autoSpaceDN w:val="0"/>
        <w:adjustRightInd w:val="0"/>
        <w:jc w:val="both"/>
        <w:rPr>
          <w:rFonts w:asciiTheme="minorHAnsi" w:hAnsiTheme="minorHAnsi"/>
          <w:b/>
          <w:lang w:val="en-US"/>
        </w:rPr>
      </w:pPr>
    </w:p>
    <w:p w14:paraId="488CE68A" w14:textId="77777777" w:rsidR="00A368A9" w:rsidRPr="004B36AA" w:rsidRDefault="00A368A9" w:rsidP="000B2146">
      <w:pPr>
        <w:autoSpaceDE w:val="0"/>
        <w:autoSpaceDN w:val="0"/>
        <w:adjustRightInd w:val="0"/>
        <w:jc w:val="both"/>
        <w:rPr>
          <w:rFonts w:asciiTheme="minorHAnsi" w:hAnsiTheme="minorHAnsi"/>
          <w:b/>
          <w:lang w:val="en-US"/>
        </w:rPr>
      </w:pPr>
    </w:p>
    <w:p w14:paraId="60751F69" w14:textId="77777777" w:rsidR="00A368A9" w:rsidRPr="004B36AA" w:rsidRDefault="002F7EB2" w:rsidP="000B2146">
      <w:pPr>
        <w:autoSpaceDE w:val="0"/>
        <w:autoSpaceDN w:val="0"/>
        <w:adjustRightInd w:val="0"/>
        <w:jc w:val="both"/>
        <w:rPr>
          <w:rFonts w:asciiTheme="minorHAnsi" w:hAnsiTheme="minorHAnsi"/>
          <w:b/>
          <w:lang w:val="en-US"/>
        </w:rPr>
      </w:pPr>
      <w:r w:rsidRPr="004B36AA">
        <w:rPr>
          <w:rFonts w:asciiTheme="minorHAnsi" w:hAnsiTheme="minorHAnsi"/>
          <w:b/>
          <w:lang w:val="en-US"/>
        </w:rPr>
        <w:t>Signed:</w:t>
      </w:r>
    </w:p>
    <w:p w14:paraId="0842F2D6" w14:textId="77777777" w:rsidR="000B2146" w:rsidRPr="004B36AA" w:rsidRDefault="008D6967" w:rsidP="00A368A9">
      <w:pPr>
        <w:tabs>
          <w:tab w:val="left" w:pos="5103"/>
        </w:tabs>
        <w:autoSpaceDE w:val="0"/>
        <w:autoSpaceDN w:val="0"/>
        <w:adjustRightInd w:val="0"/>
        <w:jc w:val="both"/>
        <w:rPr>
          <w:rFonts w:asciiTheme="minorHAnsi" w:hAnsiTheme="minorHAnsi"/>
          <w:lang w:val="en-US"/>
        </w:rPr>
      </w:pPr>
      <w:r w:rsidRPr="004B36AA">
        <w:rPr>
          <w:rFonts w:asciiTheme="minorHAnsi" w:hAnsiTheme="minorHAnsi"/>
          <w:b/>
          <w:lang w:val="en-US"/>
        </w:rPr>
        <w:t>Head</w:t>
      </w:r>
      <w:r w:rsidR="000B2146" w:rsidRPr="004B36AA">
        <w:rPr>
          <w:rFonts w:asciiTheme="minorHAnsi" w:hAnsiTheme="minorHAnsi"/>
          <w:b/>
          <w:lang w:val="en-US"/>
        </w:rPr>
        <w:t>ma</w:t>
      </w:r>
      <w:r w:rsidR="00A368A9" w:rsidRPr="004B36AA">
        <w:rPr>
          <w:rFonts w:asciiTheme="minorHAnsi" w:hAnsiTheme="minorHAnsi"/>
          <w:b/>
          <w:lang w:val="en-US"/>
        </w:rPr>
        <w:t>ster</w:t>
      </w:r>
      <w:r w:rsidR="00A368A9" w:rsidRPr="004B36AA">
        <w:rPr>
          <w:rFonts w:asciiTheme="minorHAnsi" w:hAnsiTheme="minorHAnsi"/>
          <w:b/>
          <w:lang w:val="en-US"/>
        </w:rPr>
        <w:tab/>
      </w:r>
      <w:r w:rsidR="002F7EB2" w:rsidRPr="004B36AA">
        <w:rPr>
          <w:rFonts w:asciiTheme="minorHAnsi" w:hAnsiTheme="minorHAnsi"/>
          <w:b/>
          <w:lang w:val="en-US"/>
        </w:rPr>
        <w:t>Head of Careers</w:t>
      </w:r>
    </w:p>
    <w:p w14:paraId="0B6AC09B" w14:textId="77777777" w:rsidR="000B2146" w:rsidRDefault="000B2146" w:rsidP="000B2146">
      <w:pPr>
        <w:autoSpaceDE w:val="0"/>
        <w:autoSpaceDN w:val="0"/>
        <w:adjustRightInd w:val="0"/>
        <w:jc w:val="both"/>
        <w:rPr>
          <w:rFonts w:ascii="Arial Narrow" w:hAnsi="Arial Narrow"/>
          <w:sz w:val="22"/>
          <w:szCs w:val="22"/>
          <w:lang w:val="en-US"/>
        </w:rPr>
      </w:pPr>
    </w:p>
    <w:p w14:paraId="196BAB04" w14:textId="77777777" w:rsidR="002F7EB2" w:rsidRDefault="002F7EB2" w:rsidP="000B2146">
      <w:pPr>
        <w:autoSpaceDE w:val="0"/>
        <w:autoSpaceDN w:val="0"/>
        <w:adjustRightInd w:val="0"/>
        <w:jc w:val="both"/>
        <w:rPr>
          <w:rFonts w:ascii="Arial Narrow" w:hAnsi="Arial Narrow"/>
          <w:sz w:val="22"/>
          <w:szCs w:val="22"/>
          <w:lang w:val="en-US"/>
        </w:rPr>
      </w:pPr>
    </w:p>
    <w:p w14:paraId="528C6E7A" w14:textId="35672E53" w:rsidR="002F7EB2" w:rsidRDefault="002E24FF" w:rsidP="000B2146">
      <w:pPr>
        <w:autoSpaceDE w:val="0"/>
        <w:autoSpaceDN w:val="0"/>
        <w:adjustRightInd w:val="0"/>
        <w:jc w:val="both"/>
        <w:rPr>
          <w:rFonts w:ascii="Arial Narrow" w:hAnsi="Arial Narrow"/>
          <w:sz w:val="22"/>
          <w:szCs w:val="22"/>
          <w:lang w:val="en-US"/>
        </w:rPr>
      </w:pPr>
      <w:proofErr w:type="spellStart"/>
      <w:r>
        <w:rPr>
          <w:rFonts w:ascii="Arial Narrow" w:hAnsi="Arial Narrow"/>
          <w:sz w:val="22"/>
          <w:szCs w:val="22"/>
          <w:lang w:val="en-US"/>
        </w:rPr>
        <w:t>Mr</w:t>
      </w:r>
      <w:proofErr w:type="spellEnd"/>
      <w:r>
        <w:rPr>
          <w:rFonts w:ascii="Arial Narrow" w:hAnsi="Arial Narrow"/>
          <w:sz w:val="22"/>
          <w:szCs w:val="22"/>
          <w:lang w:val="en-US"/>
        </w:rPr>
        <w:t xml:space="preserve"> P Sanderson </w:t>
      </w:r>
      <w:r w:rsidR="0085740D">
        <w:rPr>
          <w:rFonts w:ascii="Arial Narrow" w:hAnsi="Arial Narrow"/>
          <w:sz w:val="22"/>
          <w:szCs w:val="22"/>
          <w:lang w:val="en-US"/>
        </w:rPr>
        <w:tab/>
      </w:r>
      <w:r w:rsidR="0085740D">
        <w:rPr>
          <w:rFonts w:ascii="Arial Narrow" w:hAnsi="Arial Narrow"/>
          <w:sz w:val="22"/>
          <w:szCs w:val="22"/>
          <w:lang w:val="en-US"/>
        </w:rPr>
        <w:tab/>
      </w:r>
      <w:r w:rsidR="0085740D">
        <w:rPr>
          <w:rFonts w:ascii="Arial Narrow" w:hAnsi="Arial Narrow"/>
          <w:sz w:val="22"/>
          <w:szCs w:val="22"/>
          <w:lang w:val="en-US"/>
        </w:rPr>
        <w:tab/>
      </w:r>
      <w:r w:rsidR="0085740D">
        <w:rPr>
          <w:rFonts w:ascii="Arial Narrow" w:hAnsi="Arial Narrow"/>
          <w:sz w:val="22"/>
          <w:szCs w:val="22"/>
          <w:lang w:val="en-US"/>
        </w:rPr>
        <w:tab/>
      </w:r>
      <w:r w:rsidR="0085740D">
        <w:rPr>
          <w:rFonts w:ascii="Arial Narrow" w:hAnsi="Arial Narrow"/>
          <w:sz w:val="22"/>
          <w:szCs w:val="22"/>
          <w:lang w:val="en-US"/>
        </w:rPr>
        <w:tab/>
      </w:r>
      <w:r w:rsidR="00A82B0C">
        <w:rPr>
          <w:rFonts w:ascii="Arial Narrow" w:hAnsi="Arial Narrow"/>
          <w:sz w:val="22"/>
          <w:szCs w:val="22"/>
          <w:lang w:val="en-US"/>
        </w:rPr>
        <w:tab/>
      </w:r>
      <w:proofErr w:type="spellStart"/>
      <w:r w:rsidR="005C50AD">
        <w:rPr>
          <w:rFonts w:ascii="Arial Narrow" w:hAnsi="Arial Narrow"/>
          <w:sz w:val="22"/>
          <w:szCs w:val="22"/>
          <w:lang w:val="en-US"/>
        </w:rPr>
        <w:t>Mrs</w:t>
      </w:r>
      <w:proofErr w:type="spellEnd"/>
      <w:r w:rsidR="005C50AD">
        <w:rPr>
          <w:rFonts w:ascii="Arial Narrow" w:hAnsi="Arial Narrow"/>
          <w:sz w:val="22"/>
          <w:szCs w:val="22"/>
          <w:lang w:val="en-US"/>
        </w:rPr>
        <w:t xml:space="preserve"> N Guzenda</w:t>
      </w:r>
    </w:p>
    <w:p w14:paraId="707716BC" w14:textId="77777777" w:rsidR="002F7EB2" w:rsidRDefault="002F7EB2" w:rsidP="000B2146">
      <w:pPr>
        <w:autoSpaceDE w:val="0"/>
        <w:autoSpaceDN w:val="0"/>
        <w:adjustRightInd w:val="0"/>
        <w:jc w:val="both"/>
        <w:rPr>
          <w:rFonts w:ascii="Arial Narrow" w:hAnsi="Arial Narrow"/>
          <w:sz w:val="22"/>
          <w:szCs w:val="22"/>
          <w:lang w:val="en-US"/>
        </w:rPr>
      </w:pPr>
    </w:p>
    <w:p w14:paraId="23B01107" w14:textId="77777777" w:rsidR="002F7EB2" w:rsidRDefault="002F7EB2" w:rsidP="000B2146">
      <w:pPr>
        <w:autoSpaceDE w:val="0"/>
        <w:autoSpaceDN w:val="0"/>
        <w:adjustRightInd w:val="0"/>
        <w:jc w:val="both"/>
        <w:rPr>
          <w:rFonts w:ascii="Arial Narrow" w:hAnsi="Arial Narrow"/>
          <w:sz w:val="22"/>
          <w:szCs w:val="22"/>
          <w:lang w:val="en-US"/>
        </w:rPr>
      </w:pPr>
    </w:p>
    <w:p w14:paraId="3489EE38" w14:textId="77777777" w:rsidR="002F7EB2" w:rsidRDefault="002F7EB2" w:rsidP="000B2146">
      <w:pPr>
        <w:autoSpaceDE w:val="0"/>
        <w:autoSpaceDN w:val="0"/>
        <w:adjustRightInd w:val="0"/>
        <w:jc w:val="both"/>
        <w:rPr>
          <w:rFonts w:ascii="Arial Narrow" w:hAnsi="Arial Narrow"/>
          <w:sz w:val="22"/>
          <w:szCs w:val="22"/>
          <w:lang w:val="en-US"/>
        </w:rPr>
      </w:pPr>
    </w:p>
    <w:p w14:paraId="2A84A86C" w14:textId="77777777" w:rsidR="002F7EB2" w:rsidRPr="00B1112C" w:rsidRDefault="00B1112C" w:rsidP="000B2146">
      <w:pPr>
        <w:autoSpaceDE w:val="0"/>
        <w:autoSpaceDN w:val="0"/>
        <w:adjustRightInd w:val="0"/>
        <w:jc w:val="both"/>
        <w:rPr>
          <w:rFonts w:ascii="Arial Narrow" w:hAnsi="Arial Narrow"/>
          <w:b/>
          <w:sz w:val="22"/>
          <w:szCs w:val="22"/>
          <w:lang w:val="en-US"/>
        </w:rPr>
      </w:pPr>
      <w:r w:rsidRPr="00B1112C">
        <w:rPr>
          <w:rFonts w:ascii="Arial Narrow" w:hAnsi="Arial Narrow"/>
          <w:b/>
          <w:sz w:val="22"/>
          <w:szCs w:val="22"/>
          <w:lang w:val="en-US"/>
        </w:rPr>
        <w:t xml:space="preserve">Assigned Careers </w:t>
      </w:r>
      <w:r w:rsidR="002F7EB2" w:rsidRPr="00B1112C">
        <w:rPr>
          <w:rFonts w:ascii="Arial Narrow" w:hAnsi="Arial Narrow"/>
          <w:b/>
          <w:sz w:val="22"/>
          <w:szCs w:val="22"/>
          <w:lang w:val="en-US"/>
        </w:rPr>
        <w:t>Governor (Lis Lewis-Jones)</w:t>
      </w:r>
      <w:r>
        <w:rPr>
          <w:rFonts w:ascii="Arial Narrow" w:hAnsi="Arial Narrow"/>
          <w:b/>
          <w:sz w:val="22"/>
          <w:szCs w:val="22"/>
          <w:lang w:val="en-US"/>
        </w:rPr>
        <w:tab/>
      </w:r>
      <w:r>
        <w:rPr>
          <w:rFonts w:ascii="Arial Narrow" w:hAnsi="Arial Narrow"/>
          <w:b/>
          <w:sz w:val="22"/>
          <w:szCs w:val="22"/>
          <w:lang w:val="en-US"/>
        </w:rPr>
        <w:tab/>
        <w:t xml:space="preserve">Chair </w:t>
      </w:r>
      <w:r w:rsidR="004B36AA">
        <w:rPr>
          <w:rFonts w:ascii="Arial Narrow" w:hAnsi="Arial Narrow"/>
          <w:b/>
          <w:sz w:val="22"/>
          <w:szCs w:val="22"/>
          <w:lang w:val="en-US"/>
        </w:rPr>
        <w:t xml:space="preserve">of Governors </w:t>
      </w:r>
    </w:p>
    <w:p w14:paraId="3E3DF50D" w14:textId="77777777" w:rsidR="002F7EB2" w:rsidRDefault="002F7EB2" w:rsidP="00383EFC">
      <w:pPr>
        <w:autoSpaceDE w:val="0"/>
        <w:autoSpaceDN w:val="0"/>
        <w:adjustRightInd w:val="0"/>
        <w:jc w:val="both"/>
        <w:rPr>
          <w:rFonts w:ascii="Arial Narrow" w:hAnsi="Arial Narrow"/>
          <w:b/>
          <w:sz w:val="22"/>
          <w:szCs w:val="22"/>
          <w:lang w:val="en-US"/>
        </w:rPr>
      </w:pPr>
    </w:p>
    <w:p w14:paraId="69EEC7F1" w14:textId="77777777" w:rsidR="002F7EB2" w:rsidRDefault="002F7EB2" w:rsidP="00383EFC">
      <w:pPr>
        <w:autoSpaceDE w:val="0"/>
        <w:autoSpaceDN w:val="0"/>
        <w:adjustRightInd w:val="0"/>
        <w:jc w:val="both"/>
        <w:rPr>
          <w:rFonts w:ascii="Arial Narrow" w:hAnsi="Arial Narrow"/>
          <w:b/>
          <w:sz w:val="22"/>
          <w:szCs w:val="22"/>
          <w:lang w:val="en-US"/>
        </w:rPr>
      </w:pPr>
    </w:p>
    <w:p w14:paraId="087948B0" w14:textId="5318432C" w:rsidR="002F7EB2" w:rsidRPr="0085740D" w:rsidRDefault="0085740D" w:rsidP="00383EFC">
      <w:pPr>
        <w:autoSpaceDE w:val="0"/>
        <w:autoSpaceDN w:val="0"/>
        <w:adjustRightInd w:val="0"/>
        <w:jc w:val="both"/>
        <w:rPr>
          <w:rFonts w:ascii="Arial Narrow" w:hAnsi="Arial Narrow"/>
          <w:sz w:val="22"/>
          <w:szCs w:val="22"/>
          <w:lang w:val="en-US"/>
        </w:rPr>
      </w:pPr>
      <w:proofErr w:type="spellStart"/>
      <w:r w:rsidRPr="0085740D">
        <w:rPr>
          <w:rFonts w:ascii="Arial Narrow" w:hAnsi="Arial Narrow"/>
          <w:sz w:val="22"/>
          <w:szCs w:val="22"/>
          <w:lang w:val="en-US"/>
        </w:rPr>
        <w:t>Mrs</w:t>
      </w:r>
      <w:proofErr w:type="spellEnd"/>
      <w:r w:rsidRPr="0085740D">
        <w:rPr>
          <w:rFonts w:ascii="Arial Narrow" w:hAnsi="Arial Narrow"/>
          <w:sz w:val="22"/>
          <w:szCs w:val="22"/>
          <w:lang w:val="en-US"/>
        </w:rPr>
        <w:t xml:space="preserve"> EL Lewis-Jones</w:t>
      </w:r>
      <w:r>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proofErr w:type="spellStart"/>
      <w:r>
        <w:rPr>
          <w:rFonts w:ascii="Arial Narrow" w:hAnsi="Arial Narrow"/>
          <w:sz w:val="22"/>
          <w:szCs w:val="22"/>
          <w:lang w:val="en-US"/>
        </w:rPr>
        <w:t>Mr</w:t>
      </w:r>
      <w:proofErr w:type="spellEnd"/>
      <w:r>
        <w:rPr>
          <w:rFonts w:ascii="Arial Narrow" w:hAnsi="Arial Narrow"/>
          <w:sz w:val="22"/>
          <w:szCs w:val="22"/>
          <w:lang w:val="en-US"/>
        </w:rPr>
        <w:t xml:space="preserve"> MS Hedges</w:t>
      </w:r>
    </w:p>
    <w:p w14:paraId="2FE63D23" w14:textId="77777777" w:rsidR="004B36AA" w:rsidRDefault="004B36AA" w:rsidP="00383EFC">
      <w:pPr>
        <w:autoSpaceDE w:val="0"/>
        <w:autoSpaceDN w:val="0"/>
        <w:adjustRightInd w:val="0"/>
        <w:jc w:val="both"/>
        <w:rPr>
          <w:rFonts w:ascii="Arial Narrow" w:hAnsi="Arial Narrow"/>
          <w:b/>
          <w:sz w:val="22"/>
          <w:szCs w:val="22"/>
          <w:lang w:val="en-US"/>
        </w:rPr>
      </w:pPr>
    </w:p>
    <w:p w14:paraId="2EC44035" w14:textId="77777777" w:rsidR="004B36AA" w:rsidRDefault="004B36AA" w:rsidP="00383EFC">
      <w:pPr>
        <w:autoSpaceDE w:val="0"/>
        <w:autoSpaceDN w:val="0"/>
        <w:adjustRightInd w:val="0"/>
        <w:jc w:val="both"/>
        <w:rPr>
          <w:rFonts w:ascii="Arial Narrow" w:hAnsi="Arial Narrow"/>
          <w:b/>
          <w:sz w:val="22"/>
          <w:szCs w:val="22"/>
          <w:lang w:val="en-US"/>
        </w:rPr>
      </w:pPr>
    </w:p>
    <w:p w14:paraId="39DFF896" w14:textId="77777777" w:rsidR="004B36AA" w:rsidRDefault="004B36AA" w:rsidP="00383EFC">
      <w:pPr>
        <w:autoSpaceDE w:val="0"/>
        <w:autoSpaceDN w:val="0"/>
        <w:adjustRightInd w:val="0"/>
        <w:jc w:val="both"/>
        <w:rPr>
          <w:rFonts w:ascii="Arial Narrow" w:hAnsi="Arial Narrow"/>
          <w:b/>
          <w:sz w:val="22"/>
          <w:szCs w:val="22"/>
          <w:lang w:val="en-US"/>
        </w:rPr>
      </w:pPr>
    </w:p>
    <w:p w14:paraId="60506955" w14:textId="77777777" w:rsidR="002F7EB2" w:rsidRDefault="002F7EB2" w:rsidP="00383EFC">
      <w:pPr>
        <w:autoSpaceDE w:val="0"/>
        <w:autoSpaceDN w:val="0"/>
        <w:adjustRightInd w:val="0"/>
        <w:jc w:val="both"/>
        <w:rPr>
          <w:rFonts w:ascii="Arial Narrow" w:hAnsi="Arial Narrow"/>
          <w:b/>
          <w:sz w:val="22"/>
          <w:szCs w:val="22"/>
          <w:lang w:val="en-US"/>
        </w:rPr>
      </w:pPr>
    </w:p>
    <w:p w14:paraId="07E5CFBA" w14:textId="7D8E4647" w:rsidR="008D6967" w:rsidRDefault="004B36AA" w:rsidP="00383EFC">
      <w:pPr>
        <w:autoSpaceDE w:val="0"/>
        <w:autoSpaceDN w:val="0"/>
        <w:adjustRightInd w:val="0"/>
        <w:jc w:val="both"/>
        <w:rPr>
          <w:rFonts w:ascii="Arial Narrow" w:hAnsi="Arial Narrow"/>
          <w:sz w:val="22"/>
          <w:szCs w:val="22"/>
          <w:lang w:val="en-US"/>
        </w:rPr>
      </w:pPr>
      <w:r w:rsidRPr="001E6FF6">
        <w:rPr>
          <w:rFonts w:ascii="Arial Narrow" w:hAnsi="Arial Narrow"/>
          <w:b/>
          <w:sz w:val="22"/>
          <w:szCs w:val="22"/>
          <w:lang w:val="en-US"/>
        </w:rPr>
        <w:t>[</w:t>
      </w:r>
      <w:r w:rsidR="003B6DE0" w:rsidRPr="001E6FF6">
        <w:rPr>
          <w:rFonts w:ascii="Arial Narrow" w:hAnsi="Arial Narrow"/>
          <w:b/>
          <w:sz w:val="22"/>
          <w:szCs w:val="22"/>
          <w:lang w:val="en-US"/>
        </w:rPr>
        <w:t xml:space="preserve">Date </w:t>
      </w:r>
      <w:r w:rsidR="00F33FFB">
        <w:rPr>
          <w:rFonts w:ascii="Arial Narrow" w:hAnsi="Arial Narrow"/>
          <w:sz w:val="22"/>
          <w:szCs w:val="22"/>
          <w:lang w:val="en-US"/>
        </w:rPr>
        <w:t>1 November 2023</w:t>
      </w:r>
      <w:r w:rsidRPr="001E6FF6">
        <w:rPr>
          <w:rFonts w:ascii="Arial Narrow" w:hAnsi="Arial Narrow"/>
          <w:b/>
          <w:sz w:val="22"/>
          <w:szCs w:val="22"/>
          <w:lang w:val="en-US"/>
        </w:rPr>
        <w:t>]</w:t>
      </w:r>
    </w:p>
    <w:p w14:paraId="165ED0FD" w14:textId="77777777" w:rsidR="00B164D7" w:rsidRDefault="00B164D7" w:rsidP="00383EFC">
      <w:pPr>
        <w:autoSpaceDE w:val="0"/>
        <w:autoSpaceDN w:val="0"/>
        <w:adjustRightInd w:val="0"/>
        <w:jc w:val="both"/>
      </w:pPr>
    </w:p>
    <w:p w14:paraId="4E843926" w14:textId="77777777" w:rsidR="00B164D7" w:rsidRDefault="00B164D7"/>
    <w:p w14:paraId="41914C55" w14:textId="77777777" w:rsidR="00B164D7" w:rsidRPr="006A396D" w:rsidRDefault="00B164D7" w:rsidP="00383EFC">
      <w:pPr>
        <w:autoSpaceDE w:val="0"/>
        <w:autoSpaceDN w:val="0"/>
        <w:adjustRightInd w:val="0"/>
        <w:jc w:val="both"/>
        <w:rPr>
          <w:rFonts w:asciiTheme="minorHAnsi" w:hAnsiTheme="minorHAnsi"/>
          <w:b/>
        </w:rPr>
      </w:pPr>
      <w:r w:rsidRPr="006A396D">
        <w:rPr>
          <w:rFonts w:asciiTheme="minorHAnsi" w:hAnsiTheme="minorHAnsi"/>
          <w:b/>
        </w:rPr>
        <w:t>ENDNOTES</w:t>
      </w:r>
    </w:p>
    <w:sectPr w:rsidR="00B164D7" w:rsidRPr="006A396D" w:rsidSect="002427F2">
      <w:pgSz w:w="11907" w:h="16840" w:code="9"/>
      <w:pgMar w:top="720" w:right="1009" w:bottom="720" w:left="10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BB0C" w14:textId="77777777" w:rsidR="00767FAA" w:rsidRDefault="00767FAA" w:rsidP="00B164D7">
      <w:r>
        <w:separator/>
      </w:r>
    </w:p>
  </w:endnote>
  <w:endnote w:type="continuationSeparator" w:id="0">
    <w:p w14:paraId="15589E80" w14:textId="77777777" w:rsidR="00767FAA" w:rsidRDefault="00767FAA" w:rsidP="00B164D7">
      <w:r>
        <w:continuationSeparator/>
      </w:r>
    </w:p>
  </w:endnote>
  <w:endnote w:id="1">
    <w:p w14:paraId="74A6300C" w14:textId="6CC0D0D4" w:rsidR="00555493" w:rsidRPr="00750436" w:rsidRDefault="00555493" w:rsidP="00555493">
      <w:pPr>
        <w:pStyle w:val="EndnoteText"/>
        <w:rPr>
          <w:rFonts w:asciiTheme="minorHAnsi" w:hAnsiTheme="minorHAnsi" w:cstheme="minorHAnsi"/>
        </w:rPr>
      </w:pPr>
      <w:r w:rsidRPr="00750436">
        <w:rPr>
          <w:rStyle w:val="EndnoteReference"/>
          <w:rFonts w:asciiTheme="minorHAnsi" w:hAnsiTheme="minorHAnsi" w:cstheme="minorHAnsi"/>
        </w:rPr>
        <w:endnoteRef/>
      </w:r>
      <w:r w:rsidRPr="00750436">
        <w:rPr>
          <w:rFonts w:asciiTheme="minorHAnsi" w:hAnsiTheme="minorHAnsi" w:cstheme="minorHAnsi"/>
        </w:rPr>
        <w:t xml:space="preserve"> </w:t>
      </w:r>
      <w:r w:rsidR="00910FAF">
        <w:rPr>
          <w:rFonts w:asciiTheme="minorHAnsi" w:hAnsiTheme="minorHAnsi" w:cstheme="minorHAnsi"/>
        </w:rPr>
        <w:t>January 2023</w:t>
      </w:r>
      <w:r>
        <w:rPr>
          <w:rFonts w:asciiTheme="minorHAnsi" w:hAnsiTheme="minorHAnsi" w:cstheme="minorHAnsi"/>
        </w:rPr>
        <w:t xml:space="preserve"> updated document: </w:t>
      </w:r>
      <w:hyperlink r:id="rId1" w:history="1">
        <w:r w:rsidR="00910FAF">
          <w:rPr>
            <w:rStyle w:val="Hyperlink"/>
          </w:rPr>
          <w:t>Careers guidance and access for education and training providers (publishing.service.gov.uk)</w:t>
        </w:r>
      </w:hyperlink>
    </w:p>
  </w:endnote>
  <w:endnote w:id="2">
    <w:p w14:paraId="241CB968" w14:textId="77777777" w:rsidR="006A396D" w:rsidRPr="004B36AA" w:rsidRDefault="006A396D" w:rsidP="006A396D">
      <w:pPr>
        <w:pStyle w:val="NormalWeb"/>
        <w:spacing w:line="255" w:lineRule="atLeast"/>
        <w:rPr>
          <w:rFonts w:asciiTheme="minorHAnsi" w:hAnsiTheme="minorHAnsi" w:cs="Arial"/>
          <w:sz w:val="22"/>
          <w:szCs w:val="22"/>
        </w:rPr>
      </w:pPr>
      <w:r w:rsidRPr="004B36AA">
        <w:rPr>
          <w:rStyle w:val="EndnoteReference"/>
          <w:rFonts w:asciiTheme="minorHAnsi" w:hAnsiTheme="minorHAnsi"/>
          <w:sz w:val="22"/>
          <w:szCs w:val="22"/>
        </w:rPr>
        <w:endnoteRef/>
      </w:r>
      <w:r w:rsidRPr="004B36AA">
        <w:rPr>
          <w:rFonts w:asciiTheme="minorHAnsi" w:hAnsiTheme="minorHAnsi"/>
          <w:sz w:val="22"/>
          <w:szCs w:val="22"/>
        </w:rPr>
        <w:t xml:space="preserve"> </w:t>
      </w:r>
      <w:r w:rsidRPr="004B36AA">
        <w:rPr>
          <w:rFonts w:asciiTheme="minorHAnsi" w:hAnsiTheme="minorHAnsi" w:cs="Arial"/>
          <w:sz w:val="22"/>
          <w:szCs w:val="22"/>
        </w:rPr>
        <w:t xml:space="preserve">Following the </w:t>
      </w:r>
      <w:r w:rsidRPr="004B36AA">
        <w:rPr>
          <w:rStyle w:val="Strong"/>
          <w:rFonts w:asciiTheme="minorHAnsi" w:hAnsiTheme="minorHAnsi" w:cs="Arial"/>
          <w:sz w:val="22"/>
          <w:szCs w:val="22"/>
        </w:rPr>
        <w:t>Education Act, 2011</w:t>
      </w:r>
      <w:r w:rsidRPr="004B36AA">
        <w:rPr>
          <w:rFonts w:asciiTheme="minorHAnsi" w:hAnsiTheme="minorHAnsi" w:cs="Arial"/>
          <w:sz w:val="22"/>
          <w:szCs w:val="22"/>
        </w:rPr>
        <w:t xml:space="preserve"> the statutory duty to ensure that young people (under 19) in England have </w:t>
      </w:r>
      <w:r w:rsidRPr="004B36AA">
        <w:rPr>
          <w:rStyle w:val="Strong"/>
          <w:rFonts w:asciiTheme="minorHAnsi" w:hAnsiTheme="minorHAnsi" w:cs="Arial"/>
          <w:sz w:val="22"/>
          <w:szCs w:val="22"/>
        </w:rPr>
        <w:t>access to careers guidance</w:t>
      </w:r>
      <w:r w:rsidRPr="004B36AA">
        <w:rPr>
          <w:rFonts w:asciiTheme="minorHAnsi" w:hAnsiTheme="minorHAnsi" w:cs="Arial"/>
          <w:sz w:val="22"/>
          <w:szCs w:val="22"/>
        </w:rPr>
        <w:t xml:space="preserve"> support was changed. </w:t>
      </w:r>
    </w:p>
    <w:p w14:paraId="7D01A3A5" w14:textId="77777777" w:rsidR="006A396D" w:rsidRPr="004B36AA" w:rsidRDefault="006A396D" w:rsidP="006A396D">
      <w:pPr>
        <w:pStyle w:val="NormalWeb"/>
        <w:spacing w:line="255" w:lineRule="atLeast"/>
        <w:rPr>
          <w:rFonts w:asciiTheme="minorHAnsi" w:hAnsiTheme="minorHAnsi" w:cs="Arial"/>
          <w:sz w:val="22"/>
          <w:szCs w:val="22"/>
        </w:rPr>
      </w:pPr>
      <w:r w:rsidRPr="004B36AA">
        <w:rPr>
          <w:rFonts w:asciiTheme="minorHAnsi" w:hAnsiTheme="minorHAnsi" w:cs="Arial"/>
          <w:sz w:val="22"/>
          <w:szCs w:val="22"/>
        </w:rPr>
        <w:t>Prior to the 2011 Act the duty was placed upon the Secretary of State to ensure that a</w:t>
      </w:r>
      <w:r w:rsidRPr="004B36AA">
        <w:rPr>
          <w:rStyle w:val="Strong"/>
          <w:rFonts w:asciiTheme="minorHAnsi" w:hAnsiTheme="minorHAnsi" w:cs="Arial"/>
          <w:sz w:val="22"/>
          <w:szCs w:val="22"/>
        </w:rPr>
        <w:t xml:space="preserve"> 'careers service' </w:t>
      </w:r>
      <w:r w:rsidRPr="004B36AA">
        <w:rPr>
          <w:rFonts w:asciiTheme="minorHAnsi" w:hAnsiTheme="minorHAnsi" w:cs="Arial"/>
          <w:sz w:val="22"/>
          <w:szCs w:val="22"/>
        </w:rPr>
        <w:t>was provided for young people. That careers service was provided from 1974-1994 by Local Education Authorities; from 1994-2001 by contracted careers companies/providers under contract to the Secretary of State; and from 2001-2012 by Connexions Partnerships/LA Connexions Services as part of their wider youth support service functions.</w:t>
      </w:r>
    </w:p>
    <w:p w14:paraId="42EFDB1D" w14:textId="77777777" w:rsidR="006A396D" w:rsidRPr="004B36AA" w:rsidRDefault="006A396D" w:rsidP="006A396D">
      <w:pPr>
        <w:shd w:val="clear" w:color="auto" w:fill="CCCCCC"/>
        <w:spacing w:line="255" w:lineRule="atLeast"/>
        <w:rPr>
          <w:rFonts w:asciiTheme="minorHAnsi" w:hAnsiTheme="minorHAnsi" w:cs="Arial"/>
          <w:sz w:val="22"/>
          <w:szCs w:val="22"/>
        </w:rPr>
      </w:pPr>
      <w:r w:rsidRPr="004B36AA">
        <w:rPr>
          <w:rFonts w:asciiTheme="minorHAnsi" w:hAnsiTheme="minorHAnsi" w:cs="Arial"/>
          <w:sz w:val="22"/>
          <w:szCs w:val="22"/>
        </w:rPr>
        <w:t xml:space="preserve">The Education Act, 2011 placed the duty to </w:t>
      </w:r>
      <w:r w:rsidRPr="004B36AA">
        <w:rPr>
          <w:rStyle w:val="Strong"/>
          <w:rFonts w:asciiTheme="minorHAnsi" w:hAnsiTheme="minorHAnsi" w:cs="Arial"/>
          <w:sz w:val="22"/>
          <w:szCs w:val="22"/>
        </w:rPr>
        <w:t>'secure access to independent careers guidance'</w:t>
      </w:r>
      <w:r w:rsidRPr="004B36AA">
        <w:rPr>
          <w:rFonts w:asciiTheme="minorHAnsi" w:hAnsiTheme="minorHAnsi" w:cs="Arial"/>
          <w:sz w:val="22"/>
          <w:szCs w:val="22"/>
        </w:rPr>
        <w:t xml:space="preserve"> for their pupils and students upon schools (from September 2012 for pupils aged 14 to age 16), and then from September 2013 upon schools for pupils aged 13-18 and upon FE Colleges and Sixth Form Colleges for students aged 16-18. </w:t>
      </w:r>
    </w:p>
    <w:p w14:paraId="06B5D037" w14:textId="77777777" w:rsidR="006A396D" w:rsidRPr="004B36AA" w:rsidRDefault="006A396D" w:rsidP="006A396D">
      <w:pPr>
        <w:pStyle w:val="NormalWeb"/>
        <w:spacing w:line="255" w:lineRule="atLeast"/>
        <w:rPr>
          <w:rFonts w:asciiTheme="minorHAnsi" w:hAnsiTheme="minorHAnsi" w:cs="Arial"/>
          <w:sz w:val="22"/>
          <w:szCs w:val="22"/>
        </w:rPr>
      </w:pPr>
      <w:r w:rsidRPr="004B36AA">
        <w:rPr>
          <w:rFonts w:asciiTheme="minorHAnsi" w:hAnsiTheme="minorHAnsi" w:cs="Arial"/>
          <w:sz w:val="22"/>
          <w:szCs w:val="22"/>
        </w:rPr>
        <w:t>The 2011 Act defines 'independent' in this way:</w:t>
      </w:r>
    </w:p>
    <w:p w14:paraId="080177F2" w14:textId="77777777" w:rsidR="006A396D" w:rsidRPr="004B36AA" w:rsidRDefault="006A396D" w:rsidP="006A396D">
      <w:pPr>
        <w:pStyle w:val="NormalWeb"/>
        <w:spacing w:line="255" w:lineRule="atLeast"/>
        <w:rPr>
          <w:rFonts w:asciiTheme="minorHAnsi" w:hAnsiTheme="minorHAnsi" w:cs="Arial"/>
          <w:sz w:val="22"/>
          <w:szCs w:val="22"/>
        </w:rPr>
      </w:pPr>
      <w:r w:rsidRPr="004B36AA">
        <w:rPr>
          <w:rFonts w:asciiTheme="minorHAnsi" w:hAnsiTheme="minorHAnsi" w:cs="Arial"/>
          <w:sz w:val="22"/>
          <w:szCs w:val="22"/>
        </w:rPr>
        <w:t>"</w:t>
      </w:r>
      <w:r w:rsidRPr="004B36AA">
        <w:rPr>
          <w:rStyle w:val="Emphasis"/>
          <w:rFonts w:asciiTheme="minorHAnsi" w:hAnsiTheme="minorHAnsi" w:cs="Arial"/>
          <w:sz w:val="22"/>
          <w:szCs w:val="22"/>
        </w:rPr>
        <w:t>careers guidance provided to pupils at a school is independent for the purposes of this section if it is provided other than by:</w:t>
      </w:r>
    </w:p>
    <w:p w14:paraId="3B63279A" w14:textId="77777777" w:rsidR="006A396D" w:rsidRPr="004B36AA" w:rsidRDefault="006A396D" w:rsidP="006A396D">
      <w:pPr>
        <w:numPr>
          <w:ilvl w:val="0"/>
          <w:numId w:val="10"/>
        </w:numPr>
        <w:spacing w:before="100" w:beforeAutospacing="1" w:after="60" w:line="255" w:lineRule="atLeast"/>
        <w:ind w:left="300"/>
        <w:rPr>
          <w:rFonts w:asciiTheme="minorHAnsi" w:hAnsiTheme="minorHAnsi" w:cs="Arial"/>
          <w:sz w:val="22"/>
          <w:szCs w:val="22"/>
        </w:rPr>
      </w:pPr>
      <w:r w:rsidRPr="004B36AA">
        <w:rPr>
          <w:rStyle w:val="Emphasis"/>
          <w:rFonts w:asciiTheme="minorHAnsi" w:hAnsiTheme="minorHAnsi" w:cs="Arial"/>
          <w:sz w:val="22"/>
          <w:szCs w:val="22"/>
        </w:rPr>
        <w:t xml:space="preserve">(A) A Teacher Employed Or Engaged At The School, Or </w:t>
      </w:r>
    </w:p>
    <w:p w14:paraId="65F30A9F" w14:textId="77777777" w:rsidR="006A396D" w:rsidRPr="004B36AA" w:rsidRDefault="006A396D" w:rsidP="006A396D">
      <w:pPr>
        <w:numPr>
          <w:ilvl w:val="0"/>
          <w:numId w:val="10"/>
        </w:numPr>
        <w:spacing w:before="100" w:beforeAutospacing="1" w:after="60" w:line="255" w:lineRule="atLeast"/>
        <w:ind w:left="300"/>
        <w:rPr>
          <w:rFonts w:asciiTheme="minorHAnsi" w:hAnsiTheme="minorHAnsi" w:cs="Arial"/>
          <w:sz w:val="22"/>
          <w:szCs w:val="22"/>
        </w:rPr>
      </w:pPr>
      <w:r w:rsidRPr="004B36AA">
        <w:rPr>
          <w:rStyle w:val="Emphasis"/>
          <w:rFonts w:asciiTheme="minorHAnsi" w:hAnsiTheme="minorHAnsi" w:cs="Arial"/>
          <w:sz w:val="22"/>
          <w:szCs w:val="22"/>
        </w:rPr>
        <w:t>(B) Any Other Person Employed At The School"</w:t>
      </w:r>
      <w:r w:rsidRPr="004B36AA">
        <w:rPr>
          <w:rFonts w:asciiTheme="minorHAnsi" w:hAnsiTheme="minorHAnsi" w:cs="Arial"/>
          <w:sz w:val="22"/>
          <w:szCs w:val="22"/>
        </w:rPr>
        <w:t xml:space="preserve"> </w:t>
      </w:r>
    </w:p>
    <w:p w14:paraId="37EB6123" w14:textId="77777777" w:rsidR="006A396D" w:rsidRPr="004B36AA" w:rsidRDefault="006A396D" w:rsidP="006A396D">
      <w:pPr>
        <w:pStyle w:val="NormalWeb"/>
        <w:spacing w:line="255" w:lineRule="atLeast"/>
        <w:rPr>
          <w:rFonts w:asciiTheme="minorHAnsi" w:hAnsiTheme="minorHAnsi" w:cs="Arial"/>
          <w:sz w:val="22"/>
          <w:szCs w:val="22"/>
        </w:rPr>
      </w:pPr>
      <w:r w:rsidRPr="004B36AA">
        <w:rPr>
          <w:rFonts w:asciiTheme="minorHAnsi" w:hAnsiTheme="minorHAnsi" w:cs="Arial"/>
          <w:sz w:val="22"/>
          <w:szCs w:val="22"/>
        </w:rPr>
        <w:t xml:space="preserve">The Act therefore </w:t>
      </w:r>
      <w:r w:rsidRPr="004B36AA">
        <w:rPr>
          <w:rFonts w:asciiTheme="minorHAnsi" w:hAnsiTheme="minorHAnsi" w:cs="Arial"/>
          <w:sz w:val="22"/>
          <w:szCs w:val="22"/>
          <w:u w:val="single"/>
        </w:rPr>
        <w:t>requires</w:t>
      </w:r>
      <w:r w:rsidRPr="004B36AA">
        <w:rPr>
          <w:rFonts w:asciiTheme="minorHAnsi" w:hAnsiTheme="minorHAnsi" w:cs="Arial"/>
          <w:sz w:val="22"/>
          <w:szCs w:val="22"/>
        </w:rPr>
        <w:t xml:space="preserve"> Schools to be commissioners of careers guidance not providers of it (that's not to say they will not provide some of it, but the new statutory duty is to secure external careers guidance in addition to whatever a school provides internally). It is worth reminding ourselves what the OECD definition of 'careers guidance' covers, as this is referred to by the Department for Education in its guidance on what the statutory duty includes:</w:t>
      </w:r>
    </w:p>
    <w:p w14:paraId="5BFA3A5B" w14:textId="77777777" w:rsidR="006A396D" w:rsidRPr="004B36AA" w:rsidRDefault="006A396D" w:rsidP="006A396D">
      <w:pPr>
        <w:pStyle w:val="NormalWeb"/>
        <w:spacing w:line="255" w:lineRule="atLeast"/>
        <w:rPr>
          <w:rFonts w:asciiTheme="minorHAnsi" w:hAnsiTheme="minorHAnsi" w:cs="Arial"/>
          <w:sz w:val="22"/>
          <w:szCs w:val="22"/>
        </w:rPr>
      </w:pPr>
      <w:r w:rsidRPr="004B36AA">
        <w:rPr>
          <w:rStyle w:val="Emphasis"/>
          <w:rFonts w:asciiTheme="minorHAnsi" w:hAnsiTheme="minorHAnsi" w:cs="Arial"/>
          <w:sz w:val="22"/>
          <w:szCs w:val="22"/>
        </w:rPr>
        <w:t>"Career guidance refers to services and activities intended to assist individuals, of any age and at any point throughout their lives, to make educational, training and occupational choices and to manage their careers.</w:t>
      </w:r>
    </w:p>
    <w:p w14:paraId="299D8934" w14:textId="77777777" w:rsidR="006A396D" w:rsidRPr="004B36AA" w:rsidRDefault="006A396D" w:rsidP="006A396D">
      <w:pPr>
        <w:pStyle w:val="NormalWeb"/>
        <w:spacing w:line="255" w:lineRule="atLeast"/>
        <w:rPr>
          <w:rFonts w:asciiTheme="minorHAnsi" w:hAnsiTheme="minorHAnsi" w:cs="Arial"/>
          <w:sz w:val="22"/>
          <w:szCs w:val="22"/>
        </w:rPr>
      </w:pPr>
      <w:r w:rsidRPr="004B36AA">
        <w:rPr>
          <w:rStyle w:val="Emphasis"/>
          <w:rFonts w:asciiTheme="minorHAnsi" w:hAnsiTheme="minorHAnsi" w:cs="Arial"/>
          <w:sz w:val="22"/>
          <w:szCs w:val="22"/>
        </w:rPr>
        <w:t>The activities may take place on an individual or group basis, and may be face-to-face or at a distance (including help lines and web-based services)."</w:t>
      </w:r>
      <w:r w:rsidRPr="004B36AA">
        <w:rPr>
          <w:rFonts w:asciiTheme="minorHAnsi" w:hAnsiTheme="minorHAnsi" w:cs="Arial"/>
          <w:i/>
          <w:iCs/>
          <w:sz w:val="22"/>
          <w:szCs w:val="22"/>
        </w:rPr>
        <w:br/>
      </w:r>
      <w:r w:rsidRPr="004B36AA">
        <w:rPr>
          <w:rStyle w:val="Emphasis"/>
          <w:rFonts w:asciiTheme="minorHAnsi" w:hAnsiTheme="minorHAnsi" w:cs="Arial"/>
          <w:sz w:val="22"/>
          <w:szCs w:val="22"/>
        </w:rPr>
        <w:t>(OECD, 2004)</w:t>
      </w:r>
    </w:p>
  </w:endnote>
  <w:endnote w:id="3">
    <w:p w14:paraId="040F8F97" w14:textId="77777777" w:rsidR="00151EBC" w:rsidRPr="004B36AA" w:rsidRDefault="00151EBC" w:rsidP="00151EBC">
      <w:pPr>
        <w:pStyle w:val="NormalWeb"/>
        <w:rPr>
          <w:rFonts w:asciiTheme="minorHAnsi" w:hAnsiTheme="minorHAnsi"/>
          <w:sz w:val="22"/>
          <w:szCs w:val="22"/>
          <w:lang w:val="en"/>
        </w:rPr>
      </w:pPr>
      <w:r w:rsidRPr="004B36AA">
        <w:rPr>
          <w:rStyle w:val="EndnoteReference"/>
          <w:rFonts w:asciiTheme="minorHAnsi" w:hAnsiTheme="minorHAnsi"/>
          <w:sz w:val="22"/>
          <w:szCs w:val="22"/>
        </w:rPr>
        <w:endnoteRef/>
      </w:r>
      <w:r w:rsidRPr="004B36AA">
        <w:rPr>
          <w:rFonts w:asciiTheme="minorHAnsi" w:hAnsiTheme="minorHAnsi"/>
          <w:sz w:val="22"/>
          <w:szCs w:val="22"/>
        </w:rPr>
        <w:t xml:space="preserve"> </w:t>
      </w:r>
      <w:r w:rsidRPr="004B36AA">
        <w:rPr>
          <w:rFonts w:asciiTheme="minorHAnsi" w:hAnsiTheme="minorHAnsi"/>
          <w:sz w:val="22"/>
          <w:szCs w:val="22"/>
          <w:lang w:val="en"/>
        </w:rPr>
        <w:t xml:space="preserve">This publication was published under the </w:t>
      </w:r>
      <w:r w:rsidRPr="004B36AA">
        <w:rPr>
          <w:rStyle w:val="government"/>
          <w:rFonts w:asciiTheme="minorHAnsi" w:hAnsiTheme="minorHAnsi"/>
          <w:sz w:val="22"/>
          <w:szCs w:val="22"/>
          <w:lang w:val="en"/>
        </w:rPr>
        <w:t xml:space="preserve">2010 to 2015 Conservative and Liberal Democrat coalition government in </w:t>
      </w:r>
      <w:r w:rsidRPr="00A31F58">
        <w:rPr>
          <w:rFonts w:asciiTheme="minorHAnsi" w:hAnsiTheme="minorHAnsi"/>
          <w:sz w:val="22"/>
          <w:szCs w:val="22"/>
          <w:lang w:val="en"/>
        </w:rPr>
        <w:t xml:space="preserve">response to Ofsted’s thematic review of careers guidance in schools, published on 10 September 2013. This vision builds upon what the best schools and educational institutions are doing and encourages culture change </w:t>
      </w:r>
      <w:r w:rsidRPr="004B36AA">
        <w:rPr>
          <w:rFonts w:asciiTheme="minorHAnsi" w:hAnsiTheme="minorHAnsi"/>
          <w:sz w:val="22"/>
          <w:szCs w:val="22"/>
          <w:lang w:val="en"/>
        </w:rPr>
        <w:t xml:space="preserve">in providing careers advice. The report is available from: </w:t>
      </w:r>
      <w:hyperlink r:id="rId2" w:history="1">
        <w:r w:rsidRPr="004B36AA">
          <w:rPr>
            <w:rStyle w:val="Hyperlink"/>
            <w:rFonts w:asciiTheme="minorHAnsi" w:hAnsiTheme="minorHAnsi"/>
            <w:color w:val="auto"/>
            <w:sz w:val="22"/>
            <w:szCs w:val="22"/>
          </w:rPr>
          <w:t>https://www.gov.uk/government/publications/careers-inspiration-vision-statement</w:t>
        </w:r>
      </w:hyperlink>
      <w:r w:rsidRPr="004B36AA">
        <w:rPr>
          <w:rFonts w:asciiTheme="minorHAnsi" w:hAnsiTheme="minorHAnsi"/>
          <w:sz w:val="22"/>
          <w:szCs w:val="22"/>
        </w:rPr>
        <w:t xml:space="preserve"> </w:t>
      </w:r>
    </w:p>
  </w:endnote>
  <w:endnote w:id="4">
    <w:p w14:paraId="1B018C3B" w14:textId="77777777" w:rsidR="00D14E60" w:rsidRPr="004B36AA" w:rsidRDefault="00D14E60" w:rsidP="00D14E60">
      <w:pPr>
        <w:autoSpaceDE w:val="0"/>
        <w:autoSpaceDN w:val="0"/>
        <w:adjustRightInd w:val="0"/>
        <w:rPr>
          <w:rFonts w:asciiTheme="minorHAnsi" w:hAnsiTheme="minorHAnsi" w:cs="GillSans-Light"/>
          <w:sz w:val="22"/>
          <w:szCs w:val="22"/>
          <w:lang w:eastAsia="en-GB"/>
        </w:rPr>
      </w:pPr>
      <w:r w:rsidRPr="004B36AA">
        <w:rPr>
          <w:rStyle w:val="EndnoteReference"/>
          <w:rFonts w:asciiTheme="minorHAnsi" w:hAnsiTheme="minorHAnsi"/>
          <w:sz w:val="22"/>
          <w:szCs w:val="22"/>
        </w:rPr>
        <w:endnoteRef/>
      </w:r>
      <w:r w:rsidRPr="004B36AA">
        <w:rPr>
          <w:rFonts w:asciiTheme="minorHAnsi" w:hAnsiTheme="minorHAnsi"/>
          <w:sz w:val="22"/>
          <w:szCs w:val="22"/>
        </w:rPr>
        <w:t xml:space="preserve"> Prof John Holman was commissioned by the Gatsby Foundation to explore what 'good career guidance' would look like. </w:t>
      </w:r>
      <w:r w:rsidRPr="004B36AA">
        <w:rPr>
          <w:rFonts w:asciiTheme="minorHAnsi" w:hAnsiTheme="minorHAnsi" w:cs="GillSans-Light"/>
          <w:sz w:val="22"/>
          <w:szCs w:val="22"/>
          <w:lang w:eastAsia="en-GB"/>
        </w:rPr>
        <w:t xml:space="preserve">Career guidance in the UK has been much criticised, but the Gatsby Foundation have sought to </w:t>
      </w:r>
      <w:proofErr w:type="gramStart"/>
      <w:r w:rsidRPr="004B36AA">
        <w:rPr>
          <w:rFonts w:asciiTheme="minorHAnsi" w:hAnsiTheme="minorHAnsi" w:cs="GillSans-Light"/>
          <w:sz w:val="22"/>
          <w:szCs w:val="22"/>
          <w:lang w:eastAsia="en-GB"/>
        </w:rPr>
        <w:t>ask</w:t>
      </w:r>
      <w:proofErr w:type="gramEnd"/>
      <w:r w:rsidRPr="004B36AA">
        <w:rPr>
          <w:rFonts w:asciiTheme="minorHAnsi" w:hAnsiTheme="minorHAnsi" w:cs="GillSans-Light"/>
          <w:sz w:val="22"/>
          <w:szCs w:val="22"/>
          <w:lang w:eastAsia="en-GB"/>
        </w:rPr>
        <w:t xml:space="preserve"> ‘what would it look like </w:t>
      </w:r>
      <w:proofErr w:type="spellStart"/>
      <w:r w:rsidRPr="004B36AA">
        <w:rPr>
          <w:rFonts w:asciiTheme="minorHAnsi" w:hAnsiTheme="minorHAnsi" w:cs="GillSans-Light"/>
          <w:sz w:val="22"/>
          <w:szCs w:val="22"/>
          <w:lang w:eastAsia="en-GB"/>
        </w:rPr>
        <w:t>were</w:t>
      </w:r>
      <w:proofErr w:type="spellEnd"/>
      <w:r w:rsidRPr="004B36AA">
        <w:rPr>
          <w:rFonts w:asciiTheme="minorHAnsi" w:hAnsiTheme="minorHAnsi" w:cs="GillSans-Light"/>
          <w:sz w:val="22"/>
          <w:szCs w:val="22"/>
          <w:lang w:eastAsia="en-GB"/>
        </w:rPr>
        <w:t xml:space="preserve"> it good?’ Holman’s team visited six countries (the Netherlands, Germany, Hong Kong, Finland, </w:t>
      </w:r>
      <w:proofErr w:type="gramStart"/>
      <w:r w:rsidRPr="004B36AA">
        <w:rPr>
          <w:rFonts w:asciiTheme="minorHAnsi" w:hAnsiTheme="minorHAnsi" w:cs="GillSans-Light"/>
          <w:sz w:val="22"/>
          <w:szCs w:val="22"/>
          <w:lang w:eastAsia="en-GB"/>
        </w:rPr>
        <w:t>Canada</w:t>
      </w:r>
      <w:proofErr w:type="gramEnd"/>
      <w:r w:rsidRPr="004B36AA">
        <w:rPr>
          <w:rFonts w:asciiTheme="minorHAnsi" w:hAnsiTheme="minorHAnsi" w:cs="GillSans-Light"/>
          <w:sz w:val="22"/>
          <w:szCs w:val="22"/>
          <w:lang w:eastAsia="en-GB"/>
        </w:rPr>
        <w:t xml:space="preserve"> and Ireland) where both career guidance and educational results are good. We also visited schools in England and studied the available literature on career guidance in English state schools. From all this input we made a judgement on what ‘good’ looks like in the form of eight benchmarks identifying different dimensions of good career guidance</w:t>
      </w:r>
      <w:r w:rsidRPr="004B36AA">
        <w:rPr>
          <w:rFonts w:asciiTheme="minorHAnsi" w:hAnsiTheme="minorHAnsi"/>
          <w:sz w:val="22"/>
          <w:szCs w:val="22"/>
        </w:rPr>
        <w:t xml:space="preserve">: </w:t>
      </w:r>
      <w:hyperlink r:id="rId3" w:history="1">
        <w:r w:rsidRPr="004B36AA">
          <w:rPr>
            <w:rStyle w:val="Hyperlink"/>
            <w:rFonts w:asciiTheme="minorHAnsi" w:hAnsiTheme="minorHAnsi"/>
            <w:color w:val="auto"/>
            <w:sz w:val="22"/>
            <w:szCs w:val="22"/>
          </w:rPr>
          <w:t>http://www.gatsby.org.uk/GoodCareerGuidance</w:t>
        </w:r>
      </w:hyperlink>
      <w:r w:rsidRPr="004B36AA">
        <w:rPr>
          <w:rFonts w:asciiTheme="minorHAnsi" w:hAnsiTheme="minorHAnsi"/>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SemiBold">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B0DF" w14:textId="77777777" w:rsidR="00767FAA" w:rsidRDefault="00767FAA" w:rsidP="00B164D7">
      <w:r>
        <w:separator/>
      </w:r>
    </w:p>
  </w:footnote>
  <w:footnote w:type="continuationSeparator" w:id="0">
    <w:p w14:paraId="0C4E949A" w14:textId="77777777" w:rsidR="00767FAA" w:rsidRDefault="00767FAA" w:rsidP="00B16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563"/>
    <w:multiLevelType w:val="hybridMultilevel"/>
    <w:tmpl w:val="9C143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56EB3"/>
    <w:multiLevelType w:val="hybridMultilevel"/>
    <w:tmpl w:val="499C6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686CD9"/>
    <w:multiLevelType w:val="hybridMultilevel"/>
    <w:tmpl w:val="EDEE4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pStyle w:val="bulleteras"/>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015AA"/>
    <w:multiLevelType w:val="hybridMultilevel"/>
    <w:tmpl w:val="95DC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836EC"/>
    <w:multiLevelType w:val="hybridMultilevel"/>
    <w:tmpl w:val="75AC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D1628"/>
    <w:multiLevelType w:val="hybridMultilevel"/>
    <w:tmpl w:val="5A92E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82AE7"/>
    <w:multiLevelType w:val="hybridMultilevel"/>
    <w:tmpl w:val="135628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835FD4"/>
    <w:multiLevelType w:val="hybridMultilevel"/>
    <w:tmpl w:val="46626B20"/>
    <w:lvl w:ilvl="0" w:tplc="0809000F">
      <w:start w:val="1"/>
      <w:numFmt w:val="decimal"/>
      <w:lvlText w:val="%1."/>
      <w:lvlJc w:val="left"/>
      <w:pPr>
        <w:ind w:left="720" w:hanging="360"/>
      </w:pPr>
      <w:rPr>
        <w:rFonts w:hint="default"/>
      </w:rPr>
    </w:lvl>
    <w:lvl w:ilvl="1" w:tplc="45A64EA0">
      <w:numFmt w:val="bullet"/>
      <w:lvlText w:val="•"/>
      <w:lvlJc w:val="left"/>
      <w:pPr>
        <w:ind w:left="1440" w:hanging="360"/>
      </w:pPr>
      <w:rPr>
        <w:rFonts w:ascii="Myriad-SemiBold" w:eastAsia="Times New Roman" w:hAnsi="Myriad-SemiBold" w:cs="Myriad-Semi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415CB"/>
    <w:multiLevelType w:val="hybridMultilevel"/>
    <w:tmpl w:val="72EC6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F47866"/>
    <w:multiLevelType w:val="hybridMultilevel"/>
    <w:tmpl w:val="4FD6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217BE"/>
    <w:multiLevelType w:val="multilevel"/>
    <w:tmpl w:val="11D8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80886"/>
    <w:multiLevelType w:val="hybridMultilevel"/>
    <w:tmpl w:val="6CCA022C"/>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2" w15:restartNumberingAfterBreak="0">
    <w:nsid w:val="68054E78"/>
    <w:multiLevelType w:val="hybridMultilevel"/>
    <w:tmpl w:val="B84CCAB6"/>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186E23"/>
    <w:multiLevelType w:val="hybridMultilevel"/>
    <w:tmpl w:val="51E8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22C79"/>
    <w:multiLevelType w:val="multilevel"/>
    <w:tmpl w:val="CD2C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84932">
    <w:abstractNumId w:val="1"/>
  </w:num>
  <w:num w:numId="2" w16cid:durableId="1255632159">
    <w:abstractNumId w:val="0"/>
  </w:num>
  <w:num w:numId="3" w16cid:durableId="1807506026">
    <w:abstractNumId w:val="6"/>
  </w:num>
  <w:num w:numId="4" w16cid:durableId="2102018307">
    <w:abstractNumId w:val="12"/>
  </w:num>
  <w:num w:numId="5" w16cid:durableId="1182548670">
    <w:abstractNumId w:val="5"/>
  </w:num>
  <w:num w:numId="6" w16cid:durableId="1210268398">
    <w:abstractNumId w:val="3"/>
  </w:num>
  <w:num w:numId="7" w16cid:durableId="1947882395">
    <w:abstractNumId w:val="7"/>
  </w:num>
  <w:num w:numId="8" w16cid:durableId="1520662900">
    <w:abstractNumId w:val="8"/>
  </w:num>
  <w:num w:numId="9" w16cid:durableId="733090080">
    <w:abstractNumId w:val="11"/>
  </w:num>
  <w:num w:numId="10" w16cid:durableId="163401554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16cid:durableId="185487771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2" w16cid:durableId="692347738">
    <w:abstractNumId w:val="2"/>
  </w:num>
  <w:num w:numId="13" w16cid:durableId="779103441">
    <w:abstractNumId w:val="9"/>
  </w:num>
  <w:num w:numId="14" w16cid:durableId="982196556">
    <w:abstractNumId w:val="4"/>
  </w:num>
  <w:num w:numId="15" w16cid:durableId="2037923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67"/>
    <w:rsid w:val="00013187"/>
    <w:rsid w:val="00017F19"/>
    <w:rsid w:val="000227CB"/>
    <w:rsid w:val="00033B9B"/>
    <w:rsid w:val="0004095E"/>
    <w:rsid w:val="00046368"/>
    <w:rsid w:val="000B1C54"/>
    <w:rsid w:val="000B2146"/>
    <w:rsid w:val="000B38A7"/>
    <w:rsid w:val="000B4D42"/>
    <w:rsid w:val="000E2A42"/>
    <w:rsid w:val="000E5C64"/>
    <w:rsid w:val="000F7F3F"/>
    <w:rsid w:val="00112107"/>
    <w:rsid w:val="0012650B"/>
    <w:rsid w:val="001427DA"/>
    <w:rsid w:val="00151EBC"/>
    <w:rsid w:val="00186C2F"/>
    <w:rsid w:val="001A0549"/>
    <w:rsid w:val="001A6FB3"/>
    <w:rsid w:val="001A77FD"/>
    <w:rsid w:val="001B523B"/>
    <w:rsid w:val="001E6FF6"/>
    <w:rsid w:val="001F49FF"/>
    <w:rsid w:val="001F673B"/>
    <w:rsid w:val="00202E82"/>
    <w:rsid w:val="00224F2B"/>
    <w:rsid w:val="002427F2"/>
    <w:rsid w:val="00260CF4"/>
    <w:rsid w:val="00295534"/>
    <w:rsid w:val="002B5892"/>
    <w:rsid w:val="002D4DA7"/>
    <w:rsid w:val="002E24FF"/>
    <w:rsid w:val="002F7EB2"/>
    <w:rsid w:val="00300842"/>
    <w:rsid w:val="00362D52"/>
    <w:rsid w:val="003824BC"/>
    <w:rsid w:val="00383EFC"/>
    <w:rsid w:val="003929E4"/>
    <w:rsid w:val="003B6A64"/>
    <w:rsid w:val="003B6DE0"/>
    <w:rsid w:val="003C2FCB"/>
    <w:rsid w:val="003C5B11"/>
    <w:rsid w:val="003F7E0F"/>
    <w:rsid w:val="0041794E"/>
    <w:rsid w:val="00475E57"/>
    <w:rsid w:val="00496137"/>
    <w:rsid w:val="004B36AA"/>
    <w:rsid w:val="004C21C8"/>
    <w:rsid w:val="005242CB"/>
    <w:rsid w:val="00555493"/>
    <w:rsid w:val="00584B8A"/>
    <w:rsid w:val="005905D7"/>
    <w:rsid w:val="005B23D5"/>
    <w:rsid w:val="005B3AB5"/>
    <w:rsid w:val="005C50AD"/>
    <w:rsid w:val="005E4BEA"/>
    <w:rsid w:val="005F2CC1"/>
    <w:rsid w:val="00612B49"/>
    <w:rsid w:val="006462EB"/>
    <w:rsid w:val="00667C4E"/>
    <w:rsid w:val="00675FA3"/>
    <w:rsid w:val="00677355"/>
    <w:rsid w:val="00677F6C"/>
    <w:rsid w:val="00685306"/>
    <w:rsid w:val="006977BF"/>
    <w:rsid w:val="006A396D"/>
    <w:rsid w:val="006A3A09"/>
    <w:rsid w:val="006B6040"/>
    <w:rsid w:val="006C5AE9"/>
    <w:rsid w:val="006C6A60"/>
    <w:rsid w:val="006D22D1"/>
    <w:rsid w:val="006E4603"/>
    <w:rsid w:val="007010EE"/>
    <w:rsid w:val="007438B4"/>
    <w:rsid w:val="00743B0B"/>
    <w:rsid w:val="00750436"/>
    <w:rsid w:val="007510B8"/>
    <w:rsid w:val="00767FAA"/>
    <w:rsid w:val="00781DA4"/>
    <w:rsid w:val="00791E93"/>
    <w:rsid w:val="007A4A60"/>
    <w:rsid w:val="007B1351"/>
    <w:rsid w:val="007B6BC0"/>
    <w:rsid w:val="007F054F"/>
    <w:rsid w:val="00812EF2"/>
    <w:rsid w:val="008229A5"/>
    <w:rsid w:val="00840005"/>
    <w:rsid w:val="00841D1E"/>
    <w:rsid w:val="0085740D"/>
    <w:rsid w:val="008637A3"/>
    <w:rsid w:val="0086473E"/>
    <w:rsid w:val="008803AB"/>
    <w:rsid w:val="008A4729"/>
    <w:rsid w:val="008B128F"/>
    <w:rsid w:val="008B25A8"/>
    <w:rsid w:val="008C4A21"/>
    <w:rsid w:val="008D6967"/>
    <w:rsid w:val="008F03EF"/>
    <w:rsid w:val="008F74A6"/>
    <w:rsid w:val="0090726A"/>
    <w:rsid w:val="00910FAF"/>
    <w:rsid w:val="00950B9C"/>
    <w:rsid w:val="00974CEB"/>
    <w:rsid w:val="009C27AC"/>
    <w:rsid w:val="009D08E7"/>
    <w:rsid w:val="009D101E"/>
    <w:rsid w:val="009D6686"/>
    <w:rsid w:val="009E170D"/>
    <w:rsid w:val="00A077AF"/>
    <w:rsid w:val="00A31F58"/>
    <w:rsid w:val="00A368A9"/>
    <w:rsid w:val="00A51C42"/>
    <w:rsid w:val="00A53B9C"/>
    <w:rsid w:val="00A64A6F"/>
    <w:rsid w:val="00A82B0C"/>
    <w:rsid w:val="00A94847"/>
    <w:rsid w:val="00AE7AF5"/>
    <w:rsid w:val="00AF19A1"/>
    <w:rsid w:val="00B029AD"/>
    <w:rsid w:val="00B05A6B"/>
    <w:rsid w:val="00B1112C"/>
    <w:rsid w:val="00B164D7"/>
    <w:rsid w:val="00B16AE0"/>
    <w:rsid w:val="00B376C0"/>
    <w:rsid w:val="00B445BF"/>
    <w:rsid w:val="00B95194"/>
    <w:rsid w:val="00BC4D38"/>
    <w:rsid w:val="00BE2A31"/>
    <w:rsid w:val="00BF48A9"/>
    <w:rsid w:val="00C02CED"/>
    <w:rsid w:val="00C03F75"/>
    <w:rsid w:val="00C25F2D"/>
    <w:rsid w:val="00C7394A"/>
    <w:rsid w:val="00C863BC"/>
    <w:rsid w:val="00C90781"/>
    <w:rsid w:val="00CB0683"/>
    <w:rsid w:val="00CB3E25"/>
    <w:rsid w:val="00CC6869"/>
    <w:rsid w:val="00CF171C"/>
    <w:rsid w:val="00CF1CD1"/>
    <w:rsid w:val="00CF2807"/>
    <w:rsid w:val="00D14E60"/>
    <w:rsid w:val="00D224CE"/>
    <w:rsid w:val="00D32313"/>
    <w:rsid w:val="00D361F2"/>
    <w:rsid w:val="00D726B7"/>
    <w:rsid w:val="00D92801"/>
    <w:rsid w:val="00DE54AA"/>
    <w:rsid w:val="00E15BA1"/>
    <w:rsid w:val="00E411DC"/>
    <w:rsid w:val="00EC399E"/>
    <w:rsid w:val="00EC6FB5"/>
    <w:rsid w:val="00F07729"/>
    <w:rsid w:val="00F21970"/>
    <w:rsid w:val="00F33FFB"/>
    <w:rsid w:val="00F34073"/>
    <w:rsid w:val="00F92ADB"/>
    <w:rsid w:val="00F958C9"/>
    <w:rsid w:val="00FB5759"/>
    <w:rsid w:val="00FD5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24B0C"/>
  <w15:docId w15:val="{D90E3464-A175-4272-8FBB-4E56DBE9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MT" w:hAnsi="ArialMT"/>
      <w:color w:val="000000"/>
      <w:sz w:val="18"/>
      <w:szCs w:val="18"/>
      <w:lang w:val="en-US"/>
    </w:rPr>
  </w:style>
  <w:style w:type="paragraph" w:styleId="BalloonText">
    <w:name w:val="Balloon Text"/>
    <w:basedOn w:val="Normal"/>
    <w:semiHidden/>
    <w:rsid w:val="000B2146"/>
    <w:rPr>
      <w:rFonts w:ascii="Tahoma" w:hAnsi="Tahoma" w:cs="Tahoma"/>
      <w:sz w:val="16"/>
      <w:szCs w:val="16"/>
    </w:rPr>
  </w:style>
  <w:style w:type="paragraph" w:styleId="Header">
    <w:name w:val="header"/>
    <w:basedOn w:val="Normal"/>
    <w:rsid w:val="00017F19"/>
    <w:pPr>
      <w:tabs>
        <w:tab w:val="center" w:pos="4153"/>
        <w:tab w:val="right" w:pos="8306"/>
      </w:tabs>
    </w:pPr>
    <w:rPr>
      <w:rFonts w:ascii="Arial Narrow" w:hAnsi="Arial Narrow"/>
    </w:rPr>
  </w:style>
  <w:style w:type="character" w:styleId="Hyperlink">
    <w:name w:val="Hyperlink"/>
    <w:basedOn w:val="DefaultParagraphFont"/>
    <w:uiPriority w:val="99"/>
    <w:unhideWhenUsed/>
    <w:rsid w:val="007010EE"/>
    <w:rPr>
      <w:color w:val="6CAC3E"/>
      <w:u w:val="single"/>
    </w:rPr>
  </w:style>
  <w:style w:type="paragraph" w:styleId="NormalWeb">
    <w:name w:val="Normal (Web)"/>
    <w:basedOn w:val="Normal"/>
    <w:uiPriority w:val="99"/>
    <w:unhideWhenUsed/>
    <w:rsid w:val="007010EE"/>
    <w:pPr>
      <w:spacing w:before="100" w:beforeAutospacing="1" w:after="225"/>
    </w:pPr>
    <w:rPr>
      <w:lang w:eastAsia="en-GB"/>
    </w:rPr>
  </w:style>
  <w:style w:type="character" w:styleId="Strong">
    <w:name w:val="Strong"/>
    <w:basedOn w:val="DefaultParagraphFont"/>
    <w:uiPriority w:val="22"/>
    <w:qFormat/>
    <w:rsid w:val="007010EE"/>
    <w:rPr>
      <w:b/>
      <w:bCs/>
    </w:rPr>
  </w:style>
  <w:style w:type="paragraph" w:customStyle="1" w:styleId="Default">
    <w:name w:val="Default"/>
    <w:rsid w:val="00DE54AA"/>
    <w:pPr>
      <w:autoSpaceDE w:val="0"/>
      <w:autoSpaceDN w:val="0"/>
      <w:adjustRightInd w:val="0"/>
    </w:pPr>
    <w:rPr>
      <w:rFonts w:ascii="Arial" w:hAnsi="Arial" w:cs="Arial"/>
      <w:color w:val="000000"/>
      <w:sz w:val="24"/>
      <w:szCs w:val="24"/>
    </w:rPr>
  </w:style>
  <w:style w:type="paragraph" w:customStyle="1" w:styleId="StyleErasMediumITC10pt1">
    <w:name w:val="Style Eras Medium ITC 10 pt1"/>
    <w:basedOn w:val="Normal"/>
    <w:rsid w:val="000F7F3F"/>
    <w:rPr>
      <w:rFonts w:ascii="Eras Medium ITC" w:hAnsi="Eras Medium ITC"/>
      <w:sz w:val="20"/>
      <w:szCs w:val="20"/>
      <w:lang w:eastAsia="en-GB"/>
    </w:rPr>
  </w:style>
  <w:style w:type="character" w:styleId="Emphasis">
    <w:name w:val="Emphasis"/>
    <w:basedOn w:val="DefaultParagraphFont"/>
    <w:uiPriority w:val="20"/>
    <w:qFormat/>
    <w:rsid w:val="00B164D7"/>
    <w:rPr>
      <w:i/>
      <w:iCs/>
    </w:rPr>
  </w:style>
  <w:style w:type="paragraph" w:styleId="Footer">
    <w:name w:val="footer"/>
    <w:basedOn w:val="Normal"/>
    <w:link w:val="FooterChar"/>
    <w:unhideWhenUsed/>
    <w:rsid w:val="00B164D7"/>
    <w:pPr>
      <w:tabs>
        <w:tab w:val="center" w:pos="4513"/>
        <w:tab w:val="right" w:pos="9026"/>
      </w:tabs>
    </w:pPr>
  </w:style>
  <w:style w:type="character" w:customStyle="1" w:styleId="FooterChar">
    <w:name w:val="Footer Char"/>
    <w:basedOn w:val="DefaultParagraphFont"/>
    <w:link w:val="Footer"/>
    <w:rsid w:val="00B164D7"/>
    <w:rPr>
      <w:sz w:val="24"/>
      <w:szCs w:val="24"/>
      <w:lang w:eastAsia="en-US"/>
    </w:rPr>
  </w:style>
  <w:style w:type="paragraph" w:styleId="EndnoteText">
    <w:name w:val="endnote text"/>
    <w:basedOn w:val="Normal"/>
    <w:link w:val="EndnoteTextChar"/>
    <w:semiHidden/>
    <w:unhideWhenUsed/>
    <w:rsid w:val="00B164D7"/>
    <w:rPr>
      <w:sz w:val="20"/>
      <w:szCs w:val="20"/>
    </w:rPr>
  </w:style>
  <w:style w:type="character" w:customStyle="1" w:styleId="EndnoteTextChar">
    <w:name w:val="Endnote Text Char"/>
    <w:basedOn w:val="DefaultParagraphFont"/>
    <w:link w:val="EndnoteText"/>
    <w:semiHidden/>
    <w:rsid w:val="00B164D7"/>
    <w:rPr>
      <w:lang w:eastAsia="en-US"/>
    </w:rPr>
  </w:style>
  <w:style w:type="character" w:styleId="EndnoteReference">
    <w:name w:val="endnote reference"/>
    <w:basedOn w:val="DefaultParagraphFont"/>
    <w:semiHidden/>
    <w:unhideWhenUsed/>
    <w:rsid w:val="00B164D7"/>
    <w:rPr>
      <w:vertAlign w:val="superscript"/>
    </w:rPr>
  </w:style>
  <w:style w:type="paragraph" w:customStyle="1" w:styleId="bulleteras">
    <w:name w:val="bulleteras"/>
    <w:basedOn w:val="Normal"/>
    <w:autoRedefine/>
    <w:rsid w:val="00C25F2D"/>
    <w:pPr>
      <w:numPr>
        <w:ilvl w:val="3"/>
        <w:numId w:val="12"/>
      </w:numPr>
      <w:tabs>
        <w:tab w:val="clear" w:pos="2880"/>
      </w:tabs>
      <w:ind w:left="426" w:hanging="240"/>
    </w:pPr>
    <w:rPr>
      <w:rFonts w:ascii="Arial" w:hAnsi="Arial"/>
      <w:sz w:val="20"/>
      <w:lang w:eastAsia="en-GB"/>
    </w:rPr>
  </w:style>
  <w:style w:type="character" w:customStyle="1" w:styleId="Styleoverview2Char11pt">
    <w:name w:val="Style overview2 Char + 11 pt"/>
    <w:rsid w:val="00C25F2D"/>
    <w:rPr>
      <w:rFonts w:ascii="Arial" w:hAnsi="Arial"/>
      <w:b/>
      <w:sz w:val="22"/>
      <w:szCs w:val="24"/>
      <w:lang w:val="en-GB" w:eastAsia="en-GB" w:bidi="ar-SA"/>
    </w:rPr>
  </w:style>
  <w:style w:type="character" w:customStyle="1" w:styleId="overview2Char">
    <w:name w:val="overview2 Char"/>
    <w:rsid w:val="00C25F2D"/>
    <w:rPr>
      <w:rFonts w:ascii="Eras Demi ITC" w:hAnsi="Eras Demi ITC"/>
      <w:sz w:val="24"/>
      <w:szCs w:val="24"/>
      <w:lang w:val="en-GB" w:eastAsia="en-GB" w:bidi="ar-SA"/>
    </w:rPr>
  </w:style>
  <w:style w:type="character" w:customStyle="1" w:styleId="government">
    <w:name w:val="government"/>
    <w:basedOn w:val="DefaultParagraphFont"/>
    <w:rsid w:val="00A31F58"/>
  </w:style>
  <w:style w:type="paragraph" w:styleId="ListParagraph">
    <w:name w:val="List Paragraph"/>
    <w:basedOn w:val="Normal"/>
    <w:uiPriority w:val="34"/>
    <w:qFormat/>
    <w:rsid w:val="008229A5"/>
    <w:pPr>
      <w:ind w:left="720"/>
      <w:contextualSpacing/>
    </w:pPr>
  </w:style>
  <w:style w:type="table" w:styleId="TableGrid">
    <w:name w:val="Table Grid"/>
    <w:basedOn w:val="TableNormal"/>
    <w:uiPriority w:val="39"/>
    <w:rsid w:val="006B60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0436"/>
    <w:rPr>
      <w:color w:val="808080"/>
      <w:shd w:val="clear" w:color="auto" w:fill="E6E6E6"/>
    </w:rPr>
  </w:style>
  <w:style w:type="character" w:styleId="FollowedHyperlink">
    <w:name w:val="FollowedHyperlink"/>
    <w:basedOn w:val="DefaultParagraphFont"/>
    <w:semiHidden/>
    <w:unhideWhenUsed/>
    <w:rsid w:val="00F2197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094">
      <w:bodyDiv w:val="1"/>
      <w:marLeft w:val="0"/>
      <w:marRight w:val="0"/>
      <w:marTop w:val="0"/>
      <w:marBottom w:val="0"/>
      <w:divBdr>
        <w:top w:val="none" w:sz="0" w:space="0" w:color="auto"/>
        <w:left w:val="none" w:sz="0" w:space="0" w:color="auto"/>
        <w:bottom w:val="none" w:sz="0" w:space="0" w:color="auto"/>
        <w:right w:val="none" w:sz="0" w:space="0" w:color="auto"/>
      </w:divBdr>
      <w:divsChild>
        <w:div w:id="1441611136">
          <w:marLeft w:val="0"/>
          <w:marRight w:val="0"/>
          <w:marTop w:val="0"/>
          <w:marBottom w:val="0"/>
          <w:divBdr>
            <w:top w:val="none" w:sz="0" w:space="0" w:color="auto"/>
            <w:left w:val="none" w:sz="0" w:space="0" w:color="auto"/>
            <w:bottom w:val="none" w:sz="0" w:space="0" w:color="auto"/>
            <w:right w:val="none" w:sz="0" w:space="0" w:color="auto"/>
          </w:divBdr>
          <w:divsChild>
            <w:div w:id="625308949">
              <w:marLeft w:val="0"/>
              <w:marRight w:val="0"/>
              <w:marTop w:val="0"/>
              <w:marBottom w:val="0"/>
              <w:divBdr>
                <w:top w:val="none" w:sz="0" w:space="0" w:color="auto"/>
                <w:left w:val="none" w:sz="0" w:space="0" w:color="auto"/>
                <w:bottom w:val="none" w:sz="0" w:space="0" w:color="auto"/>
                <w:right w:val="none" w:sz="0" w:space="0" w:color="auto"/>
              </w:divBdr>
              <w:divsChild>
                <w:div w:id="1186090037">
                  <w:marLeft w:val="900"/>
                  <w:marRight w:val="900"/>
                  <w:marTop w:val="150"/>
                  <w:marBottom w:val="0"/>
                  <w:divBdr>
                    <w:top w:val="none" w:sz="0" w:space="0" w:color="auto"/>
                    <w:left w:val="none" w:sz="0" w:space="0" w:color="auto"/>
                    <w:bottom w:val="none" w:sz="0" w:space="0" w:color="auto"/>
                    <w:right w:val="none" w:sz="0" w:space="0" w:color="auto"/>
                  </w:divBdr>
                </w:div>
              </w:divsChild>
            </w:div>
          </w:divsChild>
        </w:div>
      </w:divsChild>
    </w:div>
    <w:div w:id="290281862">
      <w:bodyDiv w:val="1"/>
      <w:marLeft w:val="0"/>
      <w:marRight w:val="0"/>
      <w:marTop w:val="0"/>
      <w:marBottom w:val="0"/>
      <w:divBdr>
        <w:top w:val="none" w:sz="0" w:space="0" w:color="auto"/>
        <w:left w:val="none" w:sz="0" w:space="0" w:color="auto"/>
        <w:bottom w:val="none" w:sz="0" w:space="0" w:color="auto"/>
        <w:right w:val="none" w:sz="0" w:space="0" w:color="auto"/>
      </w:divBdr>
      <w:divsChild>
        <w:div w:id="22484587">
          <w:marLeft w:val="0"/>
          <w:marRight w:val="0"/>
          <w:marTop w:val="0"/>
          <w:marBottom w:val="0"/>
          <w:divBdr>
            <w:top w:val="none" w:sz="0" w:space="0" w:color="auto"/>
            <w:left w:val="none" w:sz="0" w:space="0" w:color="auto"/>
            <w:bottom w:val="none" w:sz="0" w:space="0" w:color="auto"/>
            <w:right w:val="none" w:sz="0" w:space="0" w:color="auto"/>
          </w:divBdr>
          <w:divsChild>
            <w:div w:id="1597052112">
              <w:marLeft w:val="0"/>
              <w:marRight w:val="0"/>
              <w:marTop w:val="0"/>
              <w:marBottom w:val="0"/>
              <w:divBdr>
                <w:top w:val="none" w:sz="0" w:space="0" w:color="auto"/>
                <w:left w:val="none" w:sz="0" w:space="0" w:color="auto"/>
                <w:bottom w:val="none" w:sz="0" w:space="0" w:color="auto"/>
                <w:right w:val="none" w:sz="0" w:space="0" w:color="auto"/>
              </w:divBdr>
              <w:divsChild>
                <w:div w:id="1413966414">
                  <w:marLeft w:val="0"/>
                  <w:marRight w:val="0"/>
                  <w:marTop w:val="0"/>
                  <w:marBottom w:val="0"/>
                  <w:divBdr>
                    <w:top w:val="none" w:sz="0" w:space="0" w:color="auto"/>
                    <w:left w:val="none" w:sz="0" w:space="0" w:color="auto"/>
                    <w:bottom w:val="none" w:sz="0" w:space="0" w:color="auto"/>
                    <w:right w:val="none" w:sz="0" w:space="0" w:color="auto"/>
                  </w:divBdr>
                  <w:divsChild>
                    <w:div w:id="442774687">
                      <w:marLeft w:val="0"/>
                      <w:marRight w:val="0"/>
                      <w:marTop w:val="0"/>
                      <w:marBottom w:val="0"/>
                      <w:divBdr>
                        <w:top w:val="none" w:sz="0" w:space="0" w:color="auto"/>
                        <w:left w:val="none" w:sz="0" w:space="0" w:color="auto"/>
                        <w:bottom w:val="none" w:sz="0" w:space="0" w:color="auto"/>
                        <w:right w:val="none" w:sz="0" w:space="0" w:color="auto"/>
                      </w:divBdr>
                      <w:divsChild>
                        <w:div w:id="104151282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677388227">
      <w:bodyDiv w:val="1"/>
      <w:marLeft w:val="0"/>
      <w:marRight w:val="0"/>
      <w:marTop w:val="0"/>
      <w:marBottom w:val="0"/>
      <w:divBdr>
        <w:top w:val="none" w:sz="0" w:space="0" w:color="auto"/>
        <w:left w:val="none" w:sz="0" w:space="0" w:color="auto"/>
        <w:bottom w:val="none" w:sz="0" w:space="0" w:color="auto"/>
        <w:right w:val="none" w:sz="0" w:space="0" w:color="auto"/>
      </w:divBdr>
      <w:divsChild>
        <w:div w:id="1196113392">
          <w:marLeft w:val="0"/>
          <w:marRight w:val="0"/>
          <w:marTop w:val="0"/>
          <w:marBottom w:val="100"/>
          <w:divBdr>
            <w:top w:val="none" w:sz="0" w:space="0" w:color="auto"/>
            <w:left w:val="none" w:sz="0" w:space="0" w:color="auto"/>
            <w:bottom w:val="none" w:sz="0" w:space="0" w:color="auto"/>
            <w:right w:val="none" w:sz="0" w:space="0" w:color="auto"/>
          </w:divBdr>
          <w:divsChild>
            <w:div w:id="52781028">
              <w:marLeft w:val="0"/>
              <w:marRight w:val="0"/>
              <w:marTop w:val="450"/>
              <w:marBottom w:val="0"/>
              <w:divBdr>
                <w:top w:val="none" w:sz="0" w:space="0" w:color="auto"/>
                <w:left w:val="none" w:sz="0" w:space="0" w:color="auto"/>
                <w:bottom w:val="none" w:sz="0" w:space="0" w:color="auto"/>
                <w:right w:val="none" w:sz="0" w:space="0" w:color="auto"/>
              </w:divBdr>
              <w:divsChild>
                <w:div w:id="1882743415">
                  <w:marLeft w:val="0"/>
                  <w:marRight w:val="0"/>
                  <w:marTop w:val="0"/>
                  <w:marBottom w:val="0"/>
                  <w:divBdr>
                    <w:top w:val="none" w:sz="0" w:space="0" w:color="auto"/>
                    <w:left w:val="none" w:sz="0" w:space="0" w:color="auto"/>
                    <w:bottom w:val="none" w:sz="0" w:space="0" w:color="auto"/>
                    <w:right w:val="none" w:sz="0" w:space="0" w:color="auto"/>
                  </w:divBdr>
                  <w:divsChild>
                    <w:div w:id="12828054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372075293">
      <w:bodyDiv w:val="1"/>
      <w:marLeft w:val="0"/>
      <w:marRight w:val="0"/>
      <w:marTop w:val="0"/>
      <w:marBottom w:val="0"/>
      <w:divBdr>
        <w:top w:val="none" w:sz="0" w:space="0" w:color="auto"/>
        <w:left w:val="none" w:sz="0" w:space="0" w:color="auto"/>
        <w:bottom w:val="none" w:sz="0" w:space="0" w:color="auto"/>
        <w:right w:val="none" w:sz="0" w:space="0" w:color="auto"/>
      </w:divBdr>
      <w:divsChild>
        <w:div w:id="725564909">
          <w:marLeft w:val="0"/>
          <w:marRight w:val="0"/>
          <w:marTop w:val="0"/>
          <w:marBottom w:val="100"/>
          <w:divBdr>
            <w:top w:val="none" w:sz="0" w:space="0" w:color="auto"/>
            <w:left w:val="none" w:sz="0" w:space="0" w:color="auto"/>
            <w:bottom w:val="none" w:sz="0" w:space="0" w:color="auto"/>
            <w:right w:val="none" w:sz="0" w:space="0" w:color="auto"/>
          </w:divBdr>
          <w:divsChild>
            <w:div w:id="159125052">
              <w:marLeft w:val="0"/>
              <w:marRight w:val="0"/>
              <w:marTop w:val="450"/>
              <w:marBottom w:val="0"/>
              <w:divBdr>
                <w:top w:val="none" w:sz="0" w:space="0" w:color="auto"/>
                <w:left w:val="none" w:sz="0" w:space="0" w:color="auto"/>
                <w:bottom w:val="none" w:sz="0" w:space="0" w:color="auto"/>
                <w:right w:val="none" w:sz="0" w:space="0" w:color="auto"/>
              </w:divBdr>
              <w:divsChild>
                <w:div w:id="578711500">
                  <w:marLeft w:val="0"/>
                  <w:marRight w:val="0"/>
                  <w:marTop w:val="0"/>
                  <w:marBottom w:val="0"/>
                  <w:divBdr>
                    <w:top w:val="none" w:sz="0" w:space="0" w:color="auto"/>
                    <w:left w:val="none" w:sz="0" w:space="0" w:color="auto"/>
                    <w:bottom w:val="none" w:sz="0" w:space="0" w:color="auto"/>
                    <w:right w:val="none" w:sz="0" w:space="0" w:color="auto"/>
                  </w:divBdr>
                  <w:divsChild>
                    <w:div w:id="6954280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68742735">
      <w:bodyDiv w:val="1"/>
      <w:marLeft w:val="0"/>
      <w:marRight w:val="0"/>
      <w:marTop w:val="0"/>
      <w:marBottom w:val="0"/>
      <w:divBdr>
        <w:top w:val="none" w:sz="0" w:space="0" w:color="auto"/>
        <w:left w:val="none" w:sz="0" w:space="0" w:color="auto"/>
        <w:bottom w:val="none" w:sz="0" w:space="0" w:color="auto"/>
        <w:right w:val="none" w:sz="0" w:space="0" w:color="auto"/>
      </w:divBdr>
      <w:divsChild>
        <w:div w:id="2021004352">
          <w:marLeft w:val="0"/>
          <w:marRight w:val="0"/>
          <w:marTop w:val="0"/>
          <w:marBottom w:val="100"/>
          <w:divBdr>
            <w:top w:val="none" w:sz="0" w:space="0" w:color="auto"/>
            <w:left w:val="none" w:sz="0" w:space="0" w:color="auto"/>
            <w:bottom w:val="none" w:sz="0" w:space="0" w:color="auto"/>
            <w:right w:val="none" w:sz="0" w:space="0" w:color="auto"/>
          </w:divBdr>
          <w:divsChild>
            <w:div w:id="656301002">
              <w:marLeft w:val="0"/>
              <w:marRight w:val="0"/>
              <w:marTop w:val="450"/>
              <w:marBottom w:val="0"/>
              <w:divBdr>
                <w:top w:val="none" w:sz="0" w:space="0" w:color="auto"/>
                <w:left w:val="none" w:sz="0" w:space="0" w:color="auto"/>
                <w:bottom w:val="none" w:sz="0" w:space="0" w:color="auto"/>
                <w:right w:val="none" w:sz="0" w:space="0" w:color="auto"/>
              </w:divBdr>
              <w:divsChild>
                <w:div w:id="1514101974">
                  <w:marLeft w:val="0"/>
                  <w:marRight w:val="0"/>
                  <w:marTop w:val="0"/>
                  <w:marBottom w:val="0"/>
                  <w:divBdr>
                    <w:top w:val="none" w:sz="0" w:space="0" w:color="auto"/>
                    <w:left w:val="none" w:sz="0" w:space="0" w:color="auto"/>
                    <w:bottom w:val="none" w:sz="0" w:space="0" w:color="auto"/>
                    <w:right w:val="none" w:sz="0" w:space="0" w:color="auto"/>
                  </w:divBdr>
                  <w:divsChild>
                    <w:div w:id="7541322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88860703">
      <w:bodyDiv w:val="1"/>
      <w:marLeft w:val="0"/>
      <w:marRight w:val="0"/>
      <w:marTop w:val="0"/>
      <w:marBottom w:val="0"/>
      <w:divBdr>
        <w:top w:val="none" w:sz="0" w:space="0" w:color="auto"/>
        <w:left w:val="none" w:sz="0" w:space="0" w:color="auto"/>
        <w:bottom w:val="none" w:sz="0" w:space="0" w:color="auto"/>
        <w:right w:val="none" w:sz="0" w:space="0" w:color="auto"/>
      </w:divBdr>
      <w:divsChild>
        <w:div w:id="1680736388">
          <w:marLeft w:val="0"/>
          <w:marRight w:val="0"/>
          <w:marTop w:val="0"/>
          <w:marBottom w:val="0"/>
          <w:divBdr>
            <w:top w:val="none" w:sz="0" w:space="0" w:color="auto"/>
            <w:left w:val="none" w:sz="0" w:space="0" w:color="auto"/>
            <w:bottom w:val="none" w:sz="0" w:space="0" w:color="auto"/>
            <w:right w:val="none" w:sz="0" w:space="0" w:color="auto"/>
          </w:divBdr>
          <w:divsChild>
            <w:div w:id="1735545387">
              <w:marLeft w:val="0"/>
              <w:marRight w:val="0"/>
              <w:marTop w:val="0"/>
              <w:marBottom w:val="0"/>
              <w:divBdr>
                <w:top w:val="none" w:sz="0" w:space="0" w:color="auto"/>
                <w:left w:val="none" w:sz="0" w:space="0" w:color="auto"/>
                <w:bottom w:val="none" w:sz="0" w:space="0" w:color="auto"/>
                <w:right w:val="none" w:sz="0" w:space="0" w:color="auto"/>
              </w:divBdr>
              <w:divsChild>
                <w:div w:id="1400711083">
                  <w:marLeft w:val="0"/>
                  <w:marRight w:val="0"/>
                  <w:marTop w:val="0"/>
                  <w:marBottom w:val="0"/>
                  <w:divBdr>
                    <w:top w:val="none" w:sz="0" w:space="0" w:color="auto"/>
                    <w:left w:val="none" w:sz="0" w:space="0" w:color="auto"/>
                    <w:bottom w:val="none" w:sz="0" w:space="0" w:color="auto"/>
                    <w:right w:val="none" w:sz="0" w:space="0" w:color="auto"/>
                  </w:divBdr>
                  <w:divsChild>
                    <w:div w:id="657271489">
                      <w:marLeft w:val="0"/>
                      <w:marRight w:val="0"/>
                      <w:marTop w:val="0"/>
                      <w:marBottom w:val="0"/>
                      <w:divBdr>
                        <w:top w:val="none" w:sz="0" w:space="0" w:color="auto"/>
                        <w:left w:val="none" w:sz="0" w:space="0" w:color="auto"/>
                        <w:bottom w:val="none" w:sz="0" w:space="0" w:color="auto"/>
                        <w:right w:val="none" w:sz="0" w:space="0" w:color="auto"/>
                      </w:divBdr>
                      <w:divsChild>
                        <w:div w:id="950630369">
                          <w:marLeft w:val="0"/>
                          <w:marRight w:val="0"/>
                          <w:marTop w:val="0"/>
                          <w:marBottom w:val="0"/>
                          <w:divBdr>
                            <w:top w:val="none" w:sz="0" w:space="0" w:color="auto"/>
                            <w:left w:val="none" w:sz="0" w:space="0" w:color="auto"/>
                            <w:bottom w:val="none" w:sz="0" w:space="0" w:color="auto"/>
                            <w:right w:val="none" w:sz="0" w:space="0" w:color="auto"/>
                          </w:divBdr>
                          <w:divsChild>
                            <w:div w:id="953559591">
                              <w:marLeft w:val="0"/>
                              <w:marRight w:val="0"/>
                              <w:marTop w:val="0"/>
                              <w:marBottom w:val="0"/>
                              <w:divBdr>
                                <w:top w:val="none" w:sz="0" w:space="0" w:color="auto"/>
                                <w:left w:val="none" w:sz="0" w:space="0" w:color="auto"/>
                                <w:bottom w:val="none" w:sz="0" w:space="0" w:color="auto"/>
                                <w:right w:val="none" w:sz="0" w:space="0" w:color="auto"/>
                              </w:divBdr>
                              <w:divsChild>
                                <w:div w:id="4901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gatsby.org.uk/GoodCareerGuidance" TargetMode="External"/><Relationship Id="rId2" Type="http://schemas.openxmlformats.org/officeDocument/2006/relationships/hyperlink" Target="https://www.gov.uk/government/publications/careers-inspiration-vision-statement" TargetMode="External"/><Relationship Id="rId1" Type="http://schemas.openxmlformats.org/officeDocument/2006/relationships/hyperlink" Target="https://assets.publishing.service.gov.uk/government/uploads/system/uploads/attachment_data/file/1127489/Careers_guidance_and_access_for_education_and_training_providers_.pdf"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SJ425H5W2QFA-433652735-288676</_dlc_DocId>
    <_dlc_DocIdUrl xmlns="c336a740-831c-48d6-b25c-11679055070d">
      <Url>https://bloxhamschool.sharepoint.com/sites/Document_Library/_layouts/15/DocIdRedir.aspx?ID=SJ425H5W2QFA-433652735-288676</Url>
      <Description>SJ425H5W2QFA-433652735-288676</Description>
    </_dlc_DocIdUrl>
    <TaxCatchAll xmlns="c336a740-831c-48d6-b25c-11679055070d" xsi:nil="true"/>
    <lcf76f155ced4ddcb4097134ff3c332f xmlns="f2c30413-d71f-495a-8b23-bb7bf36789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AA3E6E3971A5408F87DF88CEDF6883" ma:contentTypeVersion="16" ma:contentTypeDescription="Create a new document." ma:contentTypeScope="" ma:versionID="7df58f6996992e9983065c8652dae189">
  <xsd:schema xmlns:xsd="http://www.w3.org/2001/XMLSchema" xmlns:xs="http://www.w3.org/2001/XMLSchema" xmlns:p="http://schemas.microsoft.com/office/2006/metadata/properties" xmlns:ns2="c336a740-831c-48d6-b25c-11679055070d" xmlns:ns3="f2c30413-d71f-495a-8b23-bb7bf36789cf" targetNamespace="http://schemas.microsoft.com/office/2006/metadata/properties" ma:root="true" ma:fieldsID="17506a9a4c10a17240a7af800853b533" ns2:_="" ns3:_="">
    <xsd:import namespace="c336a740-831c-48d6-b25c-11679055070d"/>
    <xsd:import namespace="f2c30413-d71f-495a-8b23-bb7bf36789c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c30413-d71f-495a-8b23-bb7bf36789cf"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6115A7-CDB2-4E32-8629-A6CCE234ECCC}">
  <ds:schemaRefs>
    <ds:schemaRef ds:uri="http://schemas.microsoft.com/sharepoint/v3/contenttype/forms"/>
  </ds:schemaRefs>
</ds:datastoreItem>
</file>

<file path=customXml/itemProps2.xml><?xml version="1.0" encoding="utf-8"?>
<ds:datastoreItem xmlns:ds="http://schemas.openxmlformats.org/officeDocument/2006/customXml" ds:itemID="{F15FCCF5-40E2-450C-BA0B-7CBCFE76A4E6}">
  <ds:schemaRefs>
    <ds:schemaRef ds:uri="http://schemas.microsoft.com/office/2006/metadata/properties"/>
    <ds:schemaRef ds:uri="http://schemas.microsoft.com/office/infopath/2007/PartnerControls"/>
    <ds:schemaRef ds:uri="c336a740-831c-48d6-b25c-11679055070d"/>
    <ds:schemaRef ds:uri="f2c30413-d71f-495a-8b23-bb7bf36789cf"/>
  </ds:schemaRefs>
</ds:datastoreItem>
</file>

<file path=customXml/itemProps3.xml><?xml version="1.0" encoding="utf-8"?>
<ds:datastoreItem xmlns:ds="http://schemas.openxmlformats.org/officeDocument/2006/customXml" ds:itemID="{3E884B4E-ED46-44DA-A785-4E41830C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f2c30413-d71f-495a-8b23-bb7bf3678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C4139-FD36-46CB-B0D4-A9C0302436AB}">
  <ds:schemaRefs>
    <ds:schemaRef ds:uri="http://schemas.openxmlformats.org/officeDocument/2006/bibliography"/>
  </ds:schemaRefs>
</ds:datastoreItem>
</file>

<file path=customXml/itemProps5.xml><?xml version="1.0" encoding="utf-8"?>
<ds:datastoreItem xmlns:ds="http://schemas.openxmlformats.org/officeDocument/2006/customXml" ds:itemID="{1E4FB481-682D-43BD-BE43-F5FEDB0C92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Health &amp; Safety General Policy Statement</vt:lpstr>
    </vt:vector>
  </TitlesOfParts>
  <Company>ISBA</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General Policy Statement</dc:title>
  <dc:creator>Leanne Watkins</dc:creator>
  <cp:lastModifiedBy>Nichole Guzenda</cp:lastModifiedBy>
  <cp:revision>49</cp:revision>
  <cp:lastPrinted>2020-01-18T14:22:00Z</cp:lastPrinted>
  <dcterms:created xsi:type="dcterms:W3CDTF">2023-10-31T15:41:00Z</dcterms:created>
  <dcterms:modified xsi:type="dcterms:W3CDTF">2023-11-01T13:44:00Z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0x010100C8AA3E6E3971A5408F87DF88CEDF6883</vt:lpwstr>
  </property>
  <property fmtid="{D5CDD505-2E9C-101B-9397-08002B2CF9AE}" pid="3" name="_dlc_DocIdItemGuid">
    <vt:lpwstr>a8dce242-c2d4-45d5-be6d-35e09fb88aac</vt:lpwstr>
  </property>
</Properties>
</file>